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6AC3E">
      <w:pPr>
        <w:widowControl/>
        <w:jc w:val="both"/>
        <w:rPr>
          <w:rFonts w:ascii="仿宋" w:hAnsi="仿宋" w:eastAsia="仿宋"/>
          <w:sz w:val="44"/>
        </w:rPr>
      </w:pPr>
    </w:p>
    <w:tbl>
      <w:tblPr>
        <w:tblStyle w:val="9"/>
        <w:tblW w:w="8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043"/>
      </w:tblGrid>
      <w:tr w14:paraId="421AB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1" w:type="dxa"/>
            <w:gridSpan w:val="2"/>
            <w:tcBorders>
              <w:top w:val="single" w:color="auto" w:sz="4" w:space="0"/>
              <w:left w:val="single" w:color="auto" w:sz="4" w:space="0"/>
              <w:bottom w:val="single" w:color="auto" w:sz="4" w:space="0"/>
              <w:right w:val="single" w:color="auto" w:sz="4" w:space="0"/>
            </w:tcBorders>
          </w:tcPr>
          <w:p w14:paraId="1346F69C">
            <w:pPr>
              <w:jc w:val="center"/>
              <w:rPr>
                <w:rFonts w:ascii="仿宋" w:hAnsi="仿宋" w:eastAsia="仿宋"/>
                <w:kern w:val="0"/>
                <w:sz w:val="24"/>
                <w:szCs w:val="24"/>
              </w:rPr>
            </w:pPr>
            <w:r>
              <w:rPr>
                <w:rFonts w:ascii="宋体" w:hAnsi="宋体" w:eastAsia="宋体" w:cs="宋体"/>
                <w:b/>
                <w:bCs/>
                <w:sz w:val="32"/>
                <w:szCs w:val="32"/>
              </w:rPr>
              <w:t>香港中文大学（深圳）货物类资产购置论证报告</w:t>
            </w:r>
          </w:p>
        </w:tc>
      </w:tr>
      <w:tr w14:paraId="3DFD3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8311" w:type="dxa"/>
            <w:gridSpan w:val="2"/>
            <w:vAlign w:val="center"/>
          </w:tcPr>
          <w:p w14:paraId="0008294E">
            <w:pPr>
              <w:rPr>
                <w:rFonts w:ascii="仿宋" w:hAnsi="仿宋" w:eastAsia="仿宋"/>
                <w:b/>
                <w:kern w:val="0"/>
                <w:sz w:val="24"/>
                <w:szCs w:val="24"/>
              </w:rPr>
            </w:pPr>
            <w:r>
              <w:rPr>
                <w:rFonts w:hint="eastAsia" w:ascii="仿宋" w:hAnsi="仿宋" w:eastAsia="仿宋"/>
                <w:b/>
                <w:kern w:val="0"/>
                <w:sz w:val="24"/>
                <w:szCs w:val="24"/>
              </w:rPr>
              <w:t>一、基本情况</w:t>
            </w:r>
          </w:p>
        </w:tc>
      </w:tr>
      <w:tr w14:paraId="3CEBA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268" w:type="dxa"/>
            <w:vAlign w:val="center"/>
          </w:tcPr>
          <w:p w14:paraId="0B390507">
            <w:pPr>
              <w:rPr>
                <w:rFonts w:hint="default" w:ascii="仿宋" w:hAnsi="仿宋" w:eastAsia="仿宋"/>
                <w:kern w:val="0"/>
                <w:sz w:val="24"/>
                <w:szCs w:val="24"/>
                <w:lang w:val="en-US" w:eastAsia="zh-CN"/>
              </w:rPr>
            </w:pPr>
            <w:r>
              <w:rPr>
                <w:rFonts w:hint="eastAsia" w:ascii="仿宋" w:hAnsi="仿宋" w:eastAsia="仿宋"/>
                <w:kern w:val="0"/>
                <w:sz w:val="24"/>
                <w:szCs w:val="24"/>
                <w:lang w:val="en-US" w:eastAsia="zh-CN"/>
              </w:rPr>
              <w:t>项目名称</w:t>
            </w:r>
          </w:p>
        </w:tc>
        <w:tc>
          <w:tcPr>
            <w:tcW w:w="6043" w:type="dxa"/>
            <w:vAlign w:val="center"/>
          </w:tcPr>
          <w:p w14:paraId="5DF47C07">
            <w:pPr>
              <w:widowControl/>
              <w:rPr>
                <w:rFonts w:ascii="仿宋" w:hAnsi="仿宋" w:eastAsia="仿宋"/>
                <w:kern w:val="0"/>
                <w:sz w:val="22"/>
              </w:rPr>
            </w:pPr>
            <w:r>
              <w:rPr>
                <w:rFonts w:hint="eastAsia" w:ascii="仿宋" w:hAnsi="仿宋" w:eastAsia="仿宋"/>
                <w:kern w:val="0"/>
                <w:sz w:val="22"/>
              </w:rPr>
              <w:t>体育教学实验设备购置项目</w:t>
            </w:r>
          </w:p>
        </w:tc>
      </w:tr>
      <w:tr w14:paraId="7F15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268" w:type="dxa"/>
            <w:vAlign w:val="center"/>
          </w:tcPr>
          <w:p w14:paraId="544E6CC1">
            <w:pPr>
              <w:rPr>
                <w:rFonts w:hint="default" w:ascii="仿宋" w:hAnsi="仿宋" w:eastAsia="仿宋"/>
                <w:color w:val="000000" w:themeColor="text1"/>
                <w:kern w:val="0"/>
                <w:sz w:val="24"/>
                <w:szCs w:val="24"/>
                <w:lang w:val="en-US" w:eastAsia="zh-CN"/>
                <w14:textFill>
                  <w14:solidFill>
                    <w14:schemeClr w14:val="tx1"/>
                  </w14:solidFill>
                </w14:textFill>
              </w:rPr>
            </w:pPr>
            <w:r>
              <w:rPr>
                <w:rFonts w:hint="eastAsia" w:ascii="仿宋" w:hAnsi="仿宋" w:eastAsia="仿宋"/>
                <w:color w:val="000000" w:themeColor="text1"/>
                <w:kern w:val="0"/>
                <w:sz w:val="24"/>
                <w:szCs w:val="24"/>
                <w:lang w:val="en-US" w:eastAsia="zh-CN"/>
                <w14:textFill>
                  <w14:solidFill>
                    <w14:schemeClr w14:val="tx1"/>
                  </w14:solidFill>
                </w14:textFill>
              </w:rPr>
              <w:t>项目金额</w:t>
            </w:r>
          </w:p>
        </w:tc>
        <w:tc>
          <w:tcPr>
            <w:tcW w:w="6043" w:type="dxa"/>
            <w:vAlign w:val="center"/>
          </w:tcPr>
          <w:p w14:paraId="59C8F8E8">
            <w:pPr>
              <w:widowControl/>
              <w:rPr>
                <w:rFonts w:hint="default" w:ascii="仿宋" w:hAnsi="仿宋" w:eastAsia="仿宋"/>
                <w:color w:val="000000" w:themeColor="text1"/>
                <w:kern w:val="0"/>
                <w:sz w:val="22"/>
                <w:lang w:val="en-US" w:eastAsia="zh-CN"/>
                <w14:textFill>
                  <w14:solidFill>
                    <w14:schemeClr w14:val="tx1"/>
                  </w14:solidFill>
                </w14:textFill>
              </w:rPr>
            </w:pPr>
            <w:r>
              <w:rPr>
                <w:rFonts w:hint="eastAsia" w:ascii="仿宋" w:hAnsi="仿宋" w:eastAsia="仿宋"/>
                <w:color w:val="000000" w:themeColor="text1"/>
                <w:kern w:val="0"/>
                <w:sz w:val="22"/>
                <w:lang w:val="en-US" w:eastAsia="zh-CN"/>
                <w14:textFill>
                  <w14:solidFill>
                    <w14:schemeClr w14:val="tx1"/>
                  </w14:solidFill>
                </w14:textFill>
              </w:rPr>
              <w:t>185万</w:t>
            </w:r>
          </w:p>
        </w:tc>
      </w:tr>
      <w:tr w14:paraId="63955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268" w:type="dxa"/>
            <w:vAlign w:val="center"/>
          </w:tcPr>
          <w:p w14:paraId="14980067">
            <w:pPr>
              <w:rPr>
                <w:rFonts w:hint="default" w:ascii="仿宋" w:hAnsi="仿宋" w:eastAsia="仿宋"/>
                <w:color w:val="000000" w:themeColor="text1"/>
                <w:kern w:val="0"/>
                <w:sz w:val="24"/>
                <w:szCs w:val="24"/>
                <w:lang w:val="en-US" w:eastAsia="zh-CN"/>
                <w14:textFill>
                  <w14:solidFill>
                    <w14:schemeClr w14:val="tx1"/>
                  </w14:solidFill>
                </w14:textFill>
              </w:rPr>
            </w:pPr>
            <w:r>
              <w:rPr>
                <w:rFonts w:hint="eastAsia" w:ascii="仿宋" w:hAnsi="仿宋" w:eastAsia="仿宋"/>
                <w:color w:val="000000" w:themeColor="text1"/>
                <w:kern w:val="0"/>
                <w:sz w:val="24"/>
                <w:szCs w:val="24"/>
                <w:lang w:val="en-US" w:eastAsia="zh-CN"/>
                <w14:textFill>
                  <w14:solidFill>
                    <w14:schemeClr w14:val="tx1"/>
                  </w14:solidFill>
                </w14:textFill>
              </w:rPr>
              <w:t>论证编号</w:t>
            </w:r>
          </w:p>
        </w:tc>
        <w:tc>
          <w:tcPr>
            <w:tcW w:w="6043" w:type="dxa"/>
            <w:vAlign w:val="center"/>
          </w:tcPr>
          <w:p w14:paraId="3901A67B">
            <w:pPr>
              <w:widowControl/>
              <w:rPr>
                <w:rFonts w:hint="default" w:ascii="仿宋" w:hAnsi="仿宋" w:eastAsia="仿宋"/>
                <w:color w:val="000000" w:themeColor="text1"/>
                <w:kern w:val="0"/>
                <w:sz w:val="22"/>
                <w:lang w:val="en-US" w:eastAsia="zh-CN"/>
                <w14:textFill>
                  <w14:solidFill>
                    <w14:schemeClr w14:val="tx1"/>
                  </w14:solidFill>
                </w14:textFill>
              </w:rPr>
            </w:pPr>
            <w:r>
              <w:rPr>
                <w:rFonts w:hint="eastAsia" w:ascii="仿宋" w:hAnsi="仿宋" w:eastAsia="仿宋"/>
                <w:color w:val="000000" w:themeColor="text1"/>
                <w:kern w:val="0"/>
                <w:sz w:val="22"/>
                <w:lang w:val="en-US" w:eastAsia="zh-CN"/>
                <w14:textFill>
                  <w14:solidFill>
                    <w14:schemeClr w14:val="tx1"/>
                  </w14:solidFill>
                </w14:textFill>
              </w:rPr>
              <w:t>LZ202512006</w:t>
            </w:r>
          </w:p>
        </w:tc>
      </w:tr>
      <w:tr w14:paraId="3E628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2" w:hRule="atLeast"/>
          <w:jc w:val="center"/>
        </w:trPr>
        <w:tc>
          <w:tcPr>
            <w:tcW w:w="8311" w:type="dxa"/>
            <w:gridSpan w:val="2"/>
          </w:tcPr>
          <w:p w14:paraId="209AAE58">
            <w:pPr>
              <w:rPr>
                <w:rFonts w:ascii="仿宋" w:hAnsi="仿宋" w:eastAsia="仿宋"/>
                <w:b/>
                <w:kern w:val="0"/>
                <w:sz w:val="24"/>
                <w:szCs w:val="24"/>
              </w:rPr>
            </w:pPr>
            <w:r>
              <w:rPr>
                <w:rFonts w:hint="eastAsia" w:ascii="仿宋" w:hAnsi="仿宋" w:eastAsia="仿宋"/>
                <w:b/>
                <w:kern w:val="0"/>
                <w:sz w:val="24"/>
                <w:szCs w:val="24"/>
              </w:rPr>
              <w:t>二、货物清单</w:t>
            </w:r>
          </w:p>
          <w:p w14:paraId="13C68E38">
            <w:pPr>
              <w:pStyle w:val="19"/>
              <w:numPr>
                <w:ilvl w:val="0"/>
                <w:numId w:val="1"/>
              </w:numPr>
              <w:ind w:firstLineChars="0"/>
              <w:rPr>
                <w:rFonts w:ascii="仿宋" w:hAnsi="仿宋" w:eastAsia="仿宋"/>
                <w:kern w:val="0"/>
                <w:sz w:val="24"/>
                <w:szCs w:val="24"/>
                <w:u w:val="single"/>
              </w:rPr>
            </w:pPr>
            <w:r>
              <w:rPr>
                <w:rFonts w:hint="eastAsia" w:ascii="仿宋" w:hAnsi="仿宋" w:eastAsia="仿宋"/>
                <w:kern w:val="0"/>
                <w:sz w:val="24"/>
                <w:szCs w:val="24"/>
                <w:u w:val="single"/>
              </w:rPr>
              <w:t>货物清单</w:t>
            </w:r>
          </w:p>
          <w:tbl>
            <w:tblPr>
              <w:tblStyle w:val="8"/>
              <w:tblW w:w="8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
              <w:gridCol w:w="1546"/>
              <w:gridCol w:w="2"/>
              <w:gridCol w:w="822"/>
              <w:gridCol w:w="2"/>
              <w:gridCol w:w="822"/>
              <w:gridCol w:w="2"/>
              <w:gridCol w:w="1316"/>
              <w:gridCol w:w="2"/>
              <w:gridCol w:w="1481"/>
              <w:gridCol w:w="3"/>
              <w:gridCol w:w="1315"/>
              <w:gridCol w:w="3"/>
            </w:tblGrid>
            <w:tr w14:paraId="52596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800" w:type="dxa"/>
                  <w:gridSpan w:val="2"/>
                  <w:tcBorders>
                    <w:top w:val="single" w:color="auto" w:sz="4" w:space="0"/>
                    <w:left w:val="single" w:color="auto" w:sz="4" w:space="0"/>
                    <w:bottom w:val="single" w:color="auto" w:sz="4" w:space="0"/>
                    <w:right w:val="single" w:color="auto" w:sz="4" w:space="0"/>
                  </w:tcBorders>
                  <w:noWrap/>
                  <w:vAlign w:val="center"/>
                </w:tcPr>
                <w:p w14:paraId="0BC81378">
                  <w:pPr>
                    <w:widowControl/>
                    <w:jc w:val="center"/>
                    <w:rPr>
                      <w:rFonts w:ascii="仿宋" w:hAnsi="仿宋" w:eastAsia="仿宋" w:cs="宋体"/>
                      <w:kern w:val="0"/>
                      <w:sz w:val="22"/>
                    </w:rPr>
                  </w:pPr>
                  <w:r>
                    <w:rPr>
                      <w:rFonts w:hint="eastAsia" w:ascii="仿宋" w:hAnsi="仿宋" w:eastAsia="仿宋" w:cs="宋体"/>
                      <w:kern w:val="0"/>
                      <w:sz w:val="22"/>
                    </w:rPr>
                    <w:t>序号</w:t>
                  </w:r>
                </w:p>
              </w:tc>
              <w:tc>
                <w:tcPr>
                  <w:tcW w:w="1548" w:type="dxa"/>
                  <w:gridSpan w:val="2"/>
                  <w:tcBorders>
                    <w:top w:val="single" w:color="auto" w:sz="4" w:space="0"/>
                    <w:left w:val="single" w:color="auto" w:sz="4" w:space="0"/>
                    <w:bottom w:val="single" w:color="auto" w:sz="4" w:space="0"/>
                    <w:right w:val="single" w:color="auto" w:sz="4" w:space="0"/>
                  </w:tcBorders>
                  <w:noWrap/>
                  <w:vAlign w:val="center"/>
                </w:tcPr>
                <w:p w14:paraId="5B8C3FD0">
                  <w:pPr>
                    <w:widowControl/>
                    <w:jc w:val="center"/>
                    <w:rPr>
                      <w:rFonts w:ascii="仿宋" w:hAnsi="仿宋" w:eastAsia="仿宋" w:cs="宋体"/>
                      <w:kern w:val="0"/>
                      <w:sz w:val="22"/>
                    </w:rPr>
                  </w:pPr>
                  <w:r>
                    <w:rPr>
                      <w:rFonts w:hint="eastAsia" w:ascii="仿宋" w:hAnsi="仿宋" w:eastAsia="仿宋" w:cs="宋体"/>
                      <w:kern w:val="0"/>
                      <w:sz w:val="22"/>
                    </w:rPr>
                    <w:t>货物名称</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14:paraId="08F69D9C">
                  <w:pPr>
                    <w:widowControl/>
                    <w:jc w:val="center"/>
                    <w:rPr>
                      <w:rFonts w:ascii="仿宋" w:hAnsi="仿宋" w:eastAsia="仿宋" w:cs="宋体"/>
                      <w:kern w:val="0"/>
                      <w:sz w:val="22"/>
                    </w:rPr>
                  </w:pPr>
                  <w:r>
                    <w:rPr>
                      <w:rFonts w:hint="eastAsia" w:ascii="仿宋" w:hAnsi="仿宋" w:eastAsia="仿宋" w:cs="宋体"/>
                      <w:kern w:val="0"/>
                      <w:sz w:val="22"/>
                    </w:rPr>
                    <w:t>数量</w:t>
                  </w:r>
                </w:p>
              </w:tc>
              <w:tc>
                <w:tcPr>
                  <w:tcW w:w="824" w:type="dxa"/>
                  <w:gridSpan w:val="2"/>
                  <w:tcBorders>
                    <w:top w:val="single" w:color="auto" w:sz="4" w:space="0"/>
                    <w:left w:val="single" w:color="auto" w:sz="4" w:space="0"/>
                    <w:bottom w:val="single" w:color="auto" w:sz="4" w:space="0"/>
                    <w:right w:val="single" w:color="auto" w:sz="4" w:space="0"/>
                  </w:tcBorders>
                  <w:vAlign w:val="center"/>
                </w:tcPr>
                <w:p w14:paraId="2CEC51F6">
                  <w:pPr>
                    <w:widowControl/>
                    <w:jc w:val="center"/>
                    <w:rPr>
                      <w:rFonts w:ascii="仿宋" w:hAnsi="仿宋" w:eastAsia="仿宋" w:cs="宋体"/>
                      <w:kern w:val="0"/>
                      <w:sz w:val="22"/>
                    </w:rPr>
                  </w:pPr>
                  <w:r>
                    <w:rPr>
                      <w:rFonts w:hint="eastAsia" w:ascii="仿宋" w:hAnsi="仿宋" w:eastAsia="仿宋" w:cs="宋体"/>
                      <w:kern w:val="0"/>
                      <w:sz w:val="22"/>
                    </w:rPr>
                    <w:t>单位</w:t>
                  </w:r>
                </w:p>
              </w:tc>
              <w:tc>
                <w:tcPr>
                  <w:tcW w:w="1318" w:type="dxa"/>
                  <w:gridSpan w:val="2"/>
                  <w:tcBorders>
                    <w:top w:val="single" w:color="auto" w:sz="4" w:space="0"/>
                    <w:left w:val="single" w:color="auto" w:sz="4" w:space="0"/>
                    <w:bottom w:val="single" w:color="auto" w:sz="4" w:space="0"/>
                    <w:right w:val="single" w:color="auto" w:sz="4" w:space="0"/>
                  </w:tcBorders>
                  <w:noWrap/>
                  <w:vAlign w:val="center"/>
                </w:tcPr>
                <w:p w14:paraId="5660069B">
                  <w:pPr>
                    <w:widowControl/>
                    <w:jc w:val="right"/>
                    <w:rPr>
                      <w:rFonts w:ascii="仿宋" w:hAnsi="仿宋" w:eastAsia="仿宋" w:cs="宋体"/>
                      <w:kern w:val="0"/>
                      <w:sz w:val="22"/>
                    </w:rPr>
                  </w:pPr>
                  <w:r>
                    <w:rPr>
                      <w:rFonts w:hint="eastAsia" w:ascii="仿宋" w:hAnsi="仿宋" w:eastAsia="仿宋" w:cs="宋体"/>
                      <w:kern w:val="0"/>
                      <w:sz w:val="22"/>
                    </w:rPr>
                    <w:t>单价</w:t>
                  </w:r>
                  <w:r>
                    <w:rPr>
                      <w:rFonts w:ascii="仿宋" w:hAnsi="仿宋" w:eastAsia="仿宋" w:cs="宋体"/>
                      <w:kern w:val="0"/>
                      <w:sz w:val="22"/>
                    </w:rPr>
                    <w:t>(</w:t>
                  </w:r>
                  <w:r>
                    <w:rPr>
                      <w:rFonts w:hint="eastAsia" w:ascii="仿宋" w:hAnsi="仿宋" w:eastAsia="仿宋" w:cs="宋体"/>
                      <w:kern w:val="0"/>
                      <w:sz w:val="22"/>
                    </w:rPr>
                    <w:t>元</w:t>
                  </w:r>
                  <w:r>
                    <w:rPr>
                      <w:rFonts w:ascii="仿宋" w:hAnsi="仿宋" w:eastAsia="仿宋" w:cs="宋体"/>
                      <w:kern w:val="0"/>
                      <w:sz w:val="22"/>
                    </w:rPr>
                    <w:t>)</w:t>
                  </w:r>
                </w:p>
              </w:tc>
              <w:tc>
                <w:tcPr>
                  <w:tcW w:w="1484" w:type="dxa"/>
                  <w:gridSpan w:val="2"/>
                  <w:tcBorders>
                    <w:top w:val="single" w:color="auto" w:sz="4" w:space="0"/>
                    <w:left w:val="single" w:color="auto" w:sz="4" w:space="0"/>
                    <w:bottom w:val="single" w:color="auto" w:sz="4" w:space="0"/>
                    <w:right w:val="single" w:color="auto" w:sz="4" w:space="0"/>
                  </w:tcBorders>
                  <w:noWrap/>
                  <w:vAlign w:val="center"/>
                </w:tcPr>
                <w:p w14:paraId="0E1BD994">
                  <w:pPr>
                    <w:widowControl/>
                    <w:jc w:val="right"/>
                    <w:rPr>
                      <w:rFonts w:ascii="仿宋" w:hAnsi="仿宋" w:eastAsia="仿宋" w:cs="宋体"/>
                      <w:kern w:val="0"/>
                      <w:sz w:val="22"/>
                    </w:rPr>
                  </w:pPr>
                  <w:r>
                    <w:rPr>
                      <w:rFonts w:hint="eastAsia" w:ascii="仿宋" w:hAnsi="仿宋" w:eastAsia="仿宋" w:cs="宋体"/>
                      <w:kern w:val="0"/>
                      <w:sz w:val="22"/>
                    </w:rPr>
                    <w:t>总价</w:t>
                  </w:r>
                  <w:r>
                    <w:rPr>
                      <w:rFonts w:ascii="仿宋" w:hAnsi="仿宋" w:eastAsia="仿宋" w:cs="宋体"/>
                      <w:kern w:val="0"/>
                      <w:sz w:val="22"/>
                    </w:rPr>
                    <w:t>(</w:t>
                  </w:r>
                  <w:r>
                    <w:rPr>
                      <w:rFonts w:hint="eastAsia" w:ascii="仿宋" w:hAnsi="仿宋" w:eastAsia="仿宋" w:cs="宋体"/>
                      <w:kern w:val="0"/>
                      <w:sz w:val="22"/>
                    </w:rPr>
                    <w:t>元</w:t>
                  </w:r>
                  <w:r>
                    <w:rPr>
                      <w:rFonts w:ascii="仿宋" w:hAnsi="仿宋" w:eastAsia="仿宋" w:cs="宋体"/>
                      <w:kern w:val="0"/>
                      <w:sz w:val="22"/>
                    </w:rPr>
                    <w:t>)</w:t>
                  </w:r>
                </w:p>
              </w:tc>
              <w:tc>
                <w:tcPr>
                  <w:tcW w:w="1318" w:type="dxa"/>
                  <w:gridSpan w:val="2"/>
                  <w:tcBorders>
                    <w:top w:val="single" w:color="auto" w:sz="4" w:space="0"/>
                    <w:left w:val="single" w:color="auto" w:sz="4" w:space="0"/>
                    <w:bottom w:val="single" w:color="auto" w:sz="4" w:space="0"/>
                    <w:right w:val="single" w:color="auto" w:sz="4" w:space="0"/>
                  </w:tcBorders>
                  <w:vAlign w:val="center"/>
                </w:tcPr>
                <w:p w14:paraId="6A126F9B">
                  <w:pPr>
                    <w:widowControl/>
                    <w:jc w:val="center"/>
                    <w:rPr>
                      <w:rFonts w:ascii="仿宋" w:hAnsi="仿宋" w:eastAsia="仿宋" w:cs="宋体"/>
                      <w:kern w:val="0"/>
                      <w:sz w:val="22"/>
                    </w:rPr>
                  </w:pPr>
                  <w:r>
                    <w:rPr>
                      <w:rFonts w:hint="eastAsia" w:ascii="仿宋" w:hAnsi="仿宋" w:eastAsia="仿宋" w:cs="宋体"/>
                      <w:kern w:val="0"/>
                      <w:sz w:val="22"/>
                    </w:rPr>
                    <w:t>是否接受进口</w:t>
                  </w:r>
                </w:p>
              </w:tc>
            </w:tr>
            <w:tr w14:paraId="4484C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trHeight w:val="709" w:hRule="atLeast"/>
              </w:trPr>
              <w:tc>
                <w:tcPr>
                  <w:tcW w:w="800" w:type="dxa"/>
                  <w:tcBorders>
                    <w:top w:val="single" w:color="auto" w:sz="4" w:space="0"/>
                    <w:left w:val="single" w:color="auto" w:sz="4" w:space="0"/>
                    <w:bottom w:val="single" w:color="auto" w:sz="4" w:space="0"/>
                    <w:right w:val="single" w:color="auto" w:sz="4" w:space="0"/>
                  </w:tcBorders>
                  <w:noWrap/>
                  <w:vAlign w:val="center"/>
                </w:tcPr>
                <w:p w14:paraId="3C1364D3">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1</w:t>
                  </w:r>
                </w:p>
              </w:tc>
              <w:tc>
                <w:tcPr>
                  <w:tcW w:w="1548" w:type="dxa"/>
                  <w:gridSpan w:val="2"/>
                  <w:tcBorders>
                    <w:top w:val="single" w:color="auto" w:sz="4" w:space="0"/>
                    <w:left w:val="single" w:color="auto" w:sz="4" w:space="0"/>
                    <w:bottom w:val="single" w:color="auto" w:sz="4" w:space="0"/>
                    <w:right w:val="single" w:color="auto" w:sz="4" w:space="0"/>
                  </w:tcBorders>
                  <w:noWrap/>
                  <w:vAlign w:val="center"/>
                </w:tcPr>
                <w:p w14:paraId="1F942C29">
                  <w:pPr>
                    <w:widowControl/>
                    <w:jc w:val="lef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测力台</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14:paraId="7ACA2FEC">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2.0</w:t>
                  </w:r>
                </w:p>
              </w:tc>
              <w:tc>
                <w:tcPr>
                  <w:tcW w:w="824" w:type="dxa"/>
                  <w:gridSpan w:val="2"/>
                  <w:tcBorders>
                    <w:top w:val="single" w:color="auto" w:sz="4" w:space="0"/>
                    <w:left w:val="single" w:color="auto" w:sz="4" w:space="0"/>
                    <w:bottom w:val="single" w:color="auto" w:sz="4" w:space="0"/>
                    <w:right w:val="single" w:color="auto" w:sz="4" w:space="0"/>
                  </w:tcBorders>
                  <w:vAlign w:val="center"/>
                </w:tcPr>
                <w:p w14:paraId="2E7F7E7B">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台</w:t>
                  </w:r>
                </w:p>
              </w:tc>
              <w:tc>
                <w:tcPr>
                  <w:tcW w:w="1319" w:type="dxa"/>
                  <w:gridSpan w:val="2"/>
                  <w:tcBorders>
                    <w:top w:val="single" w:color="auto" w:sz="4" w:space="0"/>
                    <w:left w:val="single" w:color="auto" w:sz="4" w:space="0"/>
                    <w:bottom w:val="single" w:color="auto" w:sz="4" w:space="0"/>
                    <w:right w:val="single" w:color="auto" w:sz="4" w:space="0"/>
                  </w:tcBorders>
                  <w:noWrap/>
                  <w:vAlign w:val="center"/>
                </w:tcPr>
                <w:p w14:paraId="2BDB8D7E">
                  <w:pPr>
                    <w:widowControl/>
                    <w:jc w:val="righ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450,000</w:t>
                  </w:r>
                </w:p>
              </w:tc>
              <w:tc>
                <w:tcPr>
                  <w:tcW w:w="1484" w:type="dxa"/>
                  <w:gridSpan w:val="2"/>
                  <w:tcBorders>
                    <w:top w:val="single" w:color="auto" w:sz="4" w:space="0"/>
                    <w:left w:val="single" w:color="auto" w:sz="4" w:space="0"/>
                    <w:bottom w:val="single" w:color="auto" w:sz="4" w:space="0"/>
                    <w:right w:val="single" w:color="auto" w:sz="4" w:space="0"/>
                  </w:tcBorders>
                  <w:noWrap/>
                  <w:vAlign w:val="center"/>
                </w:tcPr>
                <w:p w14:paraId="1AF416B8">
                  <w:pPr>
                    <w:widowControl/>
                    <w:jc w:val="righ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900,000</w:t>
                  </w:r>
                </w:p>
              </w:tc>
              <w:tc>
                <w:tcPr>
                  <w:tcW w:w="1319" w:type="dxa"/>
                  <w:gridSpan w:val="2"/>
                  <w:tcBorders>
                    <w:top w:val="single" w:color="auto" w:sz="4" w:space="0"/>
                    <w:left w:val="single" w:color="auto" w:sz="4" w:space="0"/>
                    <w:bottom w:val="single" w:color="auto" w:sz="4" w:space="0"/>
                    <w:right w:val="single" w:color="auto" w:sz="4" w:space="0"/>
                  </w:tcBorders>
                  <w:vAlign w:val="center"/>
                </w:tcPr>
                <w:p w14:paraId="154338D1">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是</w:t>
                  </w:r>
                </w:p>
              </w:tc>
            </w:tr>
            <w:tr w14:paraId="5B41D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trHeight w:val="709" w:hRule="atLeast"/>
              </w:trPr>
              <w:tc>
                <w:tcPr>
                  <w:tcW w:w="800" w:type="dxa"/>
                  <w:tcBorders>
                    <w:top w:val="single" w:color="auto" w:sz="4" w:space="0"/>
                    <w:left w:val="single" w:color="auto" w:sz="4" w:space="0"/>
                    <w:bottom w:val="single" w:color="auto" w:sz="4" w:space="0"/>
                    <w:right w:val="single" w:color="auto" w:sz="4" w:space="0"/>
                  </w:tcBorders>
                  <w:noWrap/>
                  <w:vAlign w:val="center"/>
                </w:tcPr>
                <w:p w14:paraId="197DC327">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2</w:t>
                  </w:r>
                </w:p>
              </w:tc>
              <w:tc>
                <w:tcPr>
                  <w:tcW w:w="1548" w:type="dxa"/>
                  <w:gridSpan w:val="2"/>
                  <w:tcBorders>
                    <w:top w:val="single" w:color="auto" w:sz="4" w:space="0"/>
                    <w:left w:val="single" w:color="auto" w:sz="4" w:space="0"/>
                    <w:bottom w:val="single" w:color="auto" w:sz="4" w:space="0"/>
                    <w:right w:val="single" w:color="auto" w:sz="4" w:space="0"/>
                  </w:tcBorders>
                  <w:noWrap/>
                  <w:vAlign w:val="center"/>
                </w:tcPr>
                <w:p w14:paraId="00B13303">
                  <w:pPr>
                    <w:widowControl/>
                    <w:jc w:val="lef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三维运动解析系统</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14:paraId="594FD87D">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1.0</w:t>
                  </w:r>
                </w:p>
              </w:tc>
              <w:tc>
                <w:tcPr>
                  <w:tcW w:w="824" w:type="dxa"/>
                  <w:gridSpan w:val="2"/>
                  <w:tcBorders>
                    <w:top w:val="single" w:color="auto" w:sz="4" w:space="0"/>
                    <w:left w:val="single" w:color="auto" w:sz="4" w:space="0"/>
                    <w:bottom w:val="single" w:color="auto" w:sz="4" w:space="0"/>
                    <w:right w:val="single" w:color="auto" w:sz="4" w:space="0"/>
                  </w:tcBorders>
                  <w:vAlign w:val="center"/>
                </w:tcPr>
                <w:p w14:paraId="0711DDD8">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台</w:t>
                  </w:r>
                </w:p>
              </w:tc>
              <w:tc>
                <w:tcPr>
                  <w:tcW w:w="1319" w:type="dxa"/>
                  <w:gridSpan w:val="2"/>
                  <w:tcBorders>
                    <w:top w:val="single" w:color="auto" w:sz="4" w:space="0"/>
                    <w:left w:val="single" w:color="auto" w:sz="4" w:space="0"/>
                    <w:bottom w:val="single" w:color="auto" w:sz="4" w:space="0"/>
                    <w:right w:val="single" w:color="auto" w:sz="4" w:space="0"/>
                  </w:tcBorders>
                  <w:noWrap/>
                  <w:vAlign w:val="center"/>
                </w:tcPr>
                <w:p w14:paraId="4C385D05">
                  <w:pPr>
                    <w:widowControl/>
                    <w:jc w:val="righ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950,000</w:t>
                  </w:r>
                </w:p>
              </w:tc>
              <w:tc>
                <w:tcPr>
                  <w:tcW w:w="1484" w:type="dxa"/>
                  <w:gridSpan w:val="2"/>
                  <w:tcBorders>
                    <w:top w:val="single" w:color="auto" w:sz="4" w:space="0"/>
                    <w:left w:val="single" w:color="auto" w:sz="4" w:space="0"/>
                    <w:bottom w:val="single" w:color="auto" w:sz="4" w:space="0"/>
                    <w:right w:val="single" w:color="auto" w:sz="4" w:space="0"/>
                  </w:tcBorders>
                  <w:noWrap/>
                  <w:vAlign w:val="center"/>
                </w:tcPr>
                <w:p w14:paraId="4B3BC720">
                  <w:pPr>
                    <w:widowControl/>
                    <w:jc w:val="right"/>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950,000</w:t>
                  </w:r>
                </w:p>
              </w:tc>
              <w:tc>
                <w:tcPr>
                  <w:tcW w:w="1319" w:type="dxa"/>
                  <w:gridSpan w:val="2"/>
                  <w:tcBorders>
                    <w:top w:val="single" w:color="auto" w:sz="4" w:space="0"/>
                    <w:left w:val="single" w:color="auto" w:sz="4" w:space="0"/>
                    <w:bottom w:val="single" w:color="auto" w:sz="4" w:space="0"/>
                    <w:right w:val="single" w:color="auto" w:sz="4" w:space="0"/>
                  </w:tcBorders>
                  <w:vAlign w:val="center"/>
                </w:tcPr>
                <w:p w14:paraId="62151C94">
                  <w:pPr>
                    <w:widowControl/>
                    <w:jc w:val="center"/>
                    <w:rPr>
                      <w:rFonts w:ascii="仿宋" w:hAnsi="仿宋" w:eastAsia="仿宋" w:cs="宋体"/>
                      <w:kern w:val="0"/>
                      <w:sz w:val="22"/>
                    </w:rPr>
                  </w:pPr>
                  <w:r>
                    <w:rPr>
                      <w:rFonts w:hint="eastAsia" w:ascii="仿宋" w:hAnsi="仿宋" w:eastAsia="仿宋"/>
                      <w:color w:val="000000" w:themeColor="text1"/>
                      <w:sz w:val="22"/>
                      <w14:textFill>
                        <w14:solidFill>
                          <w14:schemeClr w14:val="tx1"/>
                        </w14:solidFill>
                      </w14:textFill>
                    </w:rPr>
                    <w:t>是</w:t>
                  </w:r>
                </w:p>
              </w:tc>
            </w:tr>
          </w:tbl>
          <w:p w14:paraId="39637A01">
            <w:pPr>
              <w:rPr>
                <w:rFonts w:ascii="仿宋" w:hAnsi="仿宋" w:eastAsia="仿宋"/>
                <w:color w:val="000000" w:themeColor="text1"/>
                <w:kern w:val="0"/>
                <w:sz w:val="20"/>
                <w14:textFill>
                  <w14:solidFill>
                    <w14:schemeClr w14:val="tx1"/>
                  </w14:solidFill>
                </w14:textFill>
              </w:rPr>
            </w:pPr>
          </w:p>
        </w:tc>
      </w:tr>
      <w:tr w14:paraId="1CB86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7" w:hRule="atLeast"/>
          <w:jc w:val="center"/>
        </w:trPr>
        <w:tc>
          <w:tcPr>
            <w:tcW w:w="8311" w:type="dxa"/>
            <w:gridSpan w:val="2"/>
          </w:tcPr>
          <w:p w14:paraId="486C68D2">
            <w:pPr>
              <w:spacing w:before="120" w:after="120"/>
              <w:rPr>
                <w:rFonts w:ascii="仿宋" w:hAnsi="仿宋" w:eastAsia="仿宋"/>
                <w:b/>
                <w:kern w:val="0"/>
                <w:sz w:val="24"/>
                <w:szCs w:val="24"/>
              </w:rPr>
            </w:pPr>
            <w:r>
              <w:rPr>
                <w:rFonts w:hint="eastAsia" w:ascii="仿宋" w:hAnsi="仿宋" w:eastAsia="仿宋"/>
                <w:b/>
                <w:kern w:val="0"/>
                <w:sz w:val="24"/>
                <w:szCs w:val="24"/>
              </w:rPr>
              <w:t>三、产品技术要求</w:t>
            </w:r>
          </w:p>
          <w:p w14:paraId="659B6CC2">
            <w:pPr>
              <w:rPr>
                <w:rFonts w:ascii="仿宋" w:hAnsi="仿宋" w:eastAsia="仿宋"/>
                <w:kern w:val="0"/>
                <w:sz w:val="24"/>
                <w:szCs w:val="24"/>
              </w:rPr>
            </w:pPr>
            <w:r>
              <w:rPr>
                <w:rFonts w:hint="eastAsia" w:ascii="仿宋" w:hAnsi="仿宋" w:eastAsia="仿宋"/>
                <w:kern w:val="0"/>
                <w:sz w:val="24"/>
                <w:szCs w:val="24"/>
              </w:rPr>
              <w:t>（如拟采用单一来源或竞价方式采购的，所有参数均不可负偏离。每项独立评分的技术参数请单列一行，并按照</w:t>
            </w:r>
            <w:r>
              <w:rPr>
                <w:rFonts w:ascii="仿宋" w:hAnsi="仿宋" w:eastAsia="仿宋"/>
                <w:kern w:val="0"/>
                <w:sz w:val="24"/>
                <w:szCs w:val="24"/>
              </w:rPr>
              <w:t>1.1、1.1.1、1.1.1.1和1.2等标准形式设置序号。</w:t>
            </w:r>
            <w:r>
              <w:rPr>
                <w:rFonts w:hint="eastAsia" w:ascii="仿宋" w:hAnsi="仿宋" w:eastAsia="仿宋"/>
                <w:kern w:val="0"/>
                <w:sz w:val="24"/>
                <w:szCs w:val="24"/>
              </w:rPr>
              <w:t>）</w:t>
            </w:r>
          </w:p>
          <w:p w14:paraId="20B84567">
            <w:pPr>
              <w:rPr>
                <w:rFonts w:ascii="仿宋" w:hAnsi="仿宋" w:eastAsia="仿宋"/>
                <w:kern w:val="0"/>
                <w:sz w:val="24"/>
                <w:szCs w:val="24"/>
                <w:u w:val="single"/>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399"/>
              <w:gridCol w:w="5918"/>
            </w:tblGrid>
            <w:tr w14:paraId="4E3E6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846" w:type="dxa"/>
                  <w:vAlign w:val="center"/>
                </w:tcPr>
                <w:p w14:paraId="7BA661D3">
                  <w:pPr>
                    <w:jc w:val="center"/>
                    <w:rPr>
                      <w:rFonts w:ascii="仿宋" w:hAnsi="仿宋" w:eastAsia="仿宋"/>
                      <w:sz w:val="24"/>
                      <w:szCs w:val="24"/>
                    </w:rPr>
                  </w:pPr>
                  <w:r>
                    <w:rPr>
                      <w:rFonts w:hint="eastAsia" w:ascii="仿宋" w:hAnsi="仿宋" w:eastAsia="仿宋"/>
                      <w:sz w:val="24"/>
                      <w:szCs w:val="24"/>
                    </w:rPr>
                    <w:t>序号</w:t>
                  </w:r>
                </w:p>
              </w:tc>
              <w:tc>
                <w:tcPr>
                  <w:tcW w:w="1399" w:type="dxa"/>
                  <w:vAlign w:val="center"/>
                </w:tcPr>
                <w:p w14:paraId="5DEE8FD8">
                  <w:pPr>
                    <w:widowControl/>
                    <w:jc w:val="center"/>
                    <w:rPr>
                      <w:rFonts w:ascii="仿宋" w:hAnsi="仿宋" w:eastAsia="仿宋"/>
                      <w:sz w:val="24"/>
                      <w:szCs w:val="24"/>
                    </w:rPr>
                  </w:pPr>
                  <w:r>
                    <w:rPr>
                      <w:rFonts w:hint="eastAsia" w:ascii="仿宋" w:hAnsi="仿宋" w:eastAsia="仿宋"/>
                      <w:sz w:val="24"/>
                      <w:szCs w:val="24"/>
                    </w:rPr>
                    <w:t>货物名称</w:t>
                  </w:r>
                </w:p>
              </w:tc>
              <w:tc>
                <w:tcPr>
                  <w:tcW w:w="5918" w:type="dxa"/>
                  <w:vAlign w:val="center"/>
                </w:tcPr>
                <w:p w14:paraId="29469777">
                  <w:pPr>
                    <w:jc w:val="center"/>
                    <w:rPr>
                      <w:rFonts w:ascii="仿宋" w:hAnsi="仿宋" w:eastAsia="仿宋"/>
                      <w:sz w:val="24"/>
                      <w:szCs w:val="24"/>
                    </w:rPr>
                  </w:pPr>
                  <w:r>
                    <w:rPr>
                      <w:rFonts w:hint="eastAsia" w:ascii="仿宋" w:hAnsi="仿宋" w:eastAsia="仿宋"/>
                      <w:sz w:val="24"/>
                      <w:szCs w:val="24"/>
                    </w:rPr>
                    <w:t>招标技术要求</w:t>
                  </w:r>
                </w:p>
              </w:tc>
            </w:tr>
            <w:tr w14:paraId="48F11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14:paraId="4332A61F">
                  <w:pP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1</w:t>
                  </w:r>
                </w:p>
              </w:tc>
              <w:tc>
                <w:tcPr>
                  <w:tcW w:w="1399" w:type="dxa"/>
                  <w:vAlign w:val="center"/>
                </w:tcPr>
                <w:p w14:paraId="48B4AB6A">
                  <w:pPr>
                    <w:rPr>
                      <w:rFonts w:ascii="仿宋" w:hAnsi="仿宋" w:eastAsia="仿宋"/>
                      <w:b/>
                      <w:sz w:val="22"/>
                    </w:rPr>
                  </w:pPr>
                  <w:r>
                    <w:rPr>
                      <w:rFonts w:hint="eastAsia" w:ascii="仿宋" w:hAnsi="仿宋" w:eastAsia="仿宋"/>
                      <w:color w:val="000000" w:themeColor="text1"/>
                      <w:sz w:val="22"/>
                      <w14:textFill>
                        <w14:solidFill>
                          <w14:schemeClr w14:val="tx1"/>
                        </w14:solidFill>
                      </w14:textFill>
                    </w:rPr>
                    <w:t>测力台</w:t>
                  </w:r>
                </w:p>
              </w:tc>
              <w:tc>
                <w:tcPr>
                  <w:tcW w:w="5918" w:type="dxa"/>
                  <w:vAlign w:val="center"/>
                </w:tcPr>
                <w:p w14:paraId="44634FAB">
                  <w:pPr>
                    <w:rPr>
                      <w:rFonts w:ascii="仿宋" w:hAnsi="仿宋" w:eastAsia="仿宋"/>
                      <w:sz w:val="22"/>
                    </w:rPr>
                  </w:pPr>
                  <w:r>
                    <w:rPr>
                      <w:rFonts w:hint="eastAsia" w:ascii="仿宋" w:hAnsi="仿宋" w:eastAsia="仿宋"/>
                      <w:color w:val="000000" w:themeColor="text1"/>
                      <w:sz w:val="22"/>
                      <w14:textFill>
                        <w14:solidFill>
                          <w14:schemeClr w14:val="tx1"/>
                        </w14:solidFill>
                      </w14:textFill>
                    </w:rPr>
                    <w:t>1.1三维测力台技术要求：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 xml:space="preserve">★1.1.1三维测力台表面积：≥600mm×400mm，内置传感器类型：三分量压电式测力传感器 </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1.1.2传感器数量：≥4个，重量：≤25kg</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1.1.3力测量范围： Fx、Fy: 区间要求为-10000—10000N（所投产品，范围最小值≤-10000N，范围最大值≥10000N，即为满足该项技术要求）; Fz: 区间要求为-10000—10000N（所投产品，范围最小值≤-10000N，范围最大值≥10000N，即为满足该项技术要求）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1.1.4力值最大量程： Fx、Fy≥10000N ; Fz≥20000N，</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1.1.5过载能力： Fx、Fy≥15000N；Fz≥25000N</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1.1.6固有频率：fn(x,y)≥900Hz，fn(z)≥900Hz；</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1.1.7阈值：Fx，Fy≤20mN；Fz≤40mN</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1.1.8固定式安装。</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1.1.9三维测力台有4个量程范围，4个量程比例为1:5:10:20,可以根据研究需求选取合适量程。</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1.2电气参数</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★1.2.1测力台间PTP同步，系统能够与三维运动解析系统联机使用 ，并提供联机所需要的全部硬件（包含但不限于同步触发盒、连接线缆等）以及测力台安装固定框架。投标时需提供联机使用的功能截图或说明书。</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1.2.2 至少可以支持16块力台同步</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1.2.3 同步误差（IEEE1588型）≤10μs</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1.2.4 测力台之间串联连接。</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1.3软件功能技术要求：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1.3.1基本数据采集分析软件能够同时控制测力台数量≥16个。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1.3.2基本数据采集分析软件可测量、存储和分析快速变化的地面反作用力。</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1.3.3基本数据采集分析软件能够分析测试3个正交分力：Fx、Fy、Fz和3个正交分力矩：Mx、My、Mz</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1.3.4基本数据采集分析软件提供压力中心（COP）分布信息；摩擦系数（COF）分析；可现实力的梯度、功率和功的分析测试；可测量质量中心的加速度、速度和位移。</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1.3.5基本数据采集分析软件支持其它模拟输入信号兼容联机功能：肌电仪、测角仪、加速度计或其它传感器的信号。</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1.3.6数据处理功能：数据滤波、数据剪辑、频率分析（FFT）。</w:t>
                  </w:r>
                </w:p>
              </w:tc>
            </w:tr>
            <w:tr w14:paraId="5F9FB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14:paraId="6DEA522C">
                  <w:pP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2</w:t>
                  </w:r>
                </w:p>
              </w:tc>
              <w:tc>
                <w:tcPr>
                  <w:tcW w:w="1399" w:type="dxa"/>
                  <w:vAlign w:val="center"/>
                </w:tcPr>
                <w:p w14:paraId="0F19ABF4">
                  <w:pPr>
                    <w:rPr>
                      <w:rFonts w:ascii="仿宋" w:hAnsi="仿宋" w:eastAsia="仿宋"/>
                      <w:b/>
                      <w:sz w:val="22"/>
                    </w:rPr>
                  </w:pPr>
                  <w:r>
                    <w:rPr>
                      <w:rFonts w:hint="eastAsia" w:ascii="仿宋" w:hAnsi="仿宋" w:eastAsia="仿宋"/>
                      <w:color w:val="000000" w:themeColor="text1"/>
                      <w:sz w:val="22"/>
                      <w14:textFill>
                        <w14:solidFill>
                          <w14:schemeClr w14:val="tx1"/>
                        </w14:solidFill>
                      </w14:textFill>
                    </w:rPr>
                    <w:t>三维运动解析系统</w:t>
                  </w:r>
                </w:p>
              </w:tc>
              <w:tc>
                <w:tcPr>
                  <w:tcW w:w="5918" w:type="dxa"/>
                  <w:vAlign w:val="center"/>
                </w:tcPr>
                <w:p w14:paraId="3C9369F2">
                  <w:pPr>
                    <w:rPr>
                      <w:rFonts w:ascii="仿宋" w:hAnsi="仿宋" w:eastAsia="仿宋"/>
                      <w:sz w:val="22"/>
                    </w:rPr>
                  </w:pPr>
                  <w:r>
                    <w:rPr>
                      <w:rFonts w:hint="eastAsia" w:ascii="仿宋" w:hAnsi="仿宋" w:eastAsia="仿宋"/>
                      <w:color w:val="000000" w:themeColor="text1"/>
                      <w:sz w:val="22"/>
                      <w14:textFill>
                        <w14:solidFill>
                          <w14:schemeClr w14:val="tx1"/>
                        </w14:solidFill>
                      </w14:textFill>
                    </w:rPr>
                    <w:t>2.1、硬件要求：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2.1.1、镜头</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2.1.1.1感应芯片类型：CMOS</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2.1.1.2像素：不低于220万</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 xml:space="preserve">★2.1.1.3全分辨率下采集频率 ：不低于330Hz </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2.1.1.4快门模式：电子快门</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2.1.1.5摄像机可同时捕捉反光球数目：不少于500个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▲2.1.1.6内置温度传感器，检测摄像机温度的变化，可检测的温度范围要求为零下5-35摄氏度（所投产品范围最小值≤零下5摄氏度，范围最大值≥35摄氏度，即为满足该项技术要求）。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▲2.1.1.7内置加速度传感器，加速度范围，设置和实时监控摄像机位置，加速度计检测范围要求为-1至1G，所投产品范围最小值≤-1G，范围最大值≥1G，即为满足该项技术要求。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2.1.1.8摄像机输出模式：原始数据；中心圆点坐标；灰阶数据；边缘数据多种可选</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2.1.1.9软件操作镜头，调节阀值，电子停机，启动，调控电子快门，阳光滤镜</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2.1.1.10镜头具备全局快门，LED频闪技术：采用二次光学放大、分散红外和近红外技术，超广角镜头焦距区间要求为6.5mm-12.5mm可调（所投产品范围最小值≤6.5mm，范围最大值≥12.5mm，即为满足该项技术要求）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2.1.1.11可视宽角：不低于95度×50度</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2.1.1.12可视窄角：不低于45度×28度</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2.1.2、数据采集器</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2.1.2.1可同时连接≥16个镜头</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2.1.2.2支持64模拟通道输入</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2.1.2.3支持VESA同步输入</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2.1.2.4 以太网供电，通讯传输采用RJ45接口</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2.1.3、动态标定器</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2.1.3.1 动态静态标定采用同一个框架</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★2.1.3.2采用主动发光LED技术的动态标定架</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2.1.3.3内置≧ 5 对 LED 标记点，标定范围不小于15米，光谱兼容 NIR和IR (近红外和红外) ，支持 VR (可见红光)；支持频闪模式和常亮模式，（常亮模式用于强光干扰环境的拍摄），动态标定框架内置气泡水平仪及水平调节功能</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2.1.3.4双波长LED，支持不同光照环境的动态标定标定架宽度≤ 240mm</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2.1.4、反光球</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2.1.4.1 直径 9mm反光球：不少于50个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2.1.4.2 直径14mm反光球：不少于50个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2.2、软件要求：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2.2.1能够数字同步三维测力台数据及表面肌电系统数据</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2.2.2提供全部实时的安装、标定、采集及实时处理的工作环境</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2.2.3支持动态及静态标定，并可实时显示，同时不做动静态标定的顺序指定，使用者可根据情况选择。提供自定义标定功能</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2.2.4支持二维及三维动态显示，并可进行360度旋转调整角度，可任意角度平移画面，可自由缩放</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2.2.5棍图显示，点阵图显示，模拟图形显示及客户自定义显示模式</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2.2.6支持2D显示，同时镜头主板支持2D实时追踪功能</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2.2.7支持XYZ坐标显示：全局坐标及自定义刚体的局部坐标均可实时显示</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2.2.8显示、隐藏捕捉区域，自定义捕捉区域的颜色及形式</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2.2.9显示、隐藏虚拟marker及其运动轨迹，实时二维及三维数据，可实现实时插值运算，插值数据自动用虚线显示，自定义插值运算参数</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2.2.10支持普通、高速摄像机同步拍摄,同时可对普通或高速摄像机进行空间位置标定，实现数据化的Overlay</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2.2.11计算、输出位置（任何点的空间三维坐标），以及定义刚体坐标中心在全局坐标中的空间位置；计算、输出速度（包含但不限于任意点的空间三维速度，刚体平动三维速度，3点角速度，2线空间三维角速度）；计算、输出加速度（包含但不限于任意点的空间三维加速度，刚体平动三维加速度，3点角加速度，2线空间三维角加速度）；计算、输出角度（任意三点角度、4点角度、2个刚体间空间角度）；计算、输出距离（任意点间距离、坐标投影距离、刚体局部坐标中心距离）；计算、输出任意数据的均值、标准差</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2.2.12支持平板电脑使用App对镜头进行设置、校准和捕捉</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2.2.13软件支持在 2D 环境识别刚体，即使仅一个摄像头观察到标志物，数据也会继续传输。</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2.2.14软件延时≤2.5毫秒；可降低沉浸环境中的反馈问题。</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2.2.15支持读取在 UDP,TCP 和VRPN Open Source 协议中的数据</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2.2.16支持 Virtools，Open Scene Graph，WorldViz ，PaNDA3D, Jack 和VR Juggler 等3D 应用程序</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2.2.17软件带有 DataStream SDK，支持Win32 WIN64 和Linux，可以使用其他语言进行二次开发来扩展系统性能</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▲2.3系统配置要求：</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（1）高速红外摄像头≧8个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（2）摄像头专用连接线≧8根</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（3）电源适配器≧1套</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（4）动态标定框架≧1套</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（5）系统主机≧1个</w:t>
                  </w:r>
                  <w:r>
                    <w:rPr>
                      <w:rFonts w:hint="eastAsia" w:ascii="仿宋" w:hAnsi="仿宋" w:eastAsia="仿宋"/>
                      <w:color w:val="000000" w:themeColor="text1"/>
                      <w:sz w:val="22"/>
                      <w14:textFill>
                        <w14:solidFill>
                          <w14:schemeClr w14:val="tx1"/>
                        </w14:solidFill>
                      </w14:textFill>
                    </w:rPr>
                    <w:br w:type="textWrapping"/>
                  </w:r>
                  <w:r>
                    <w:rPr>
                      <w:rFonts w:hint="eastAsia" w:ascii="仿宋" w:hAnsi="仿宋" w:eastAsia="仿宋"/>
                      <w:color w:val="000000" w:themeColor="text1"/>
                      <w:sz w:val="22"/>
                      <w14:textFill>
                        <w14:solidFill>
                          <w14:schemeClr w14:val="tx1"/>
                        </w14:solidFill>
                      </w14:textFill>
                    </w:rPr>
                    <w:t>（6）大号反光球≧50个</w:t>
                  </w:r>
                </w:p>
              </w:tc>
            </w:tr>
          </w:tbl>
          <w:p w14:paraId="71DC2F44">
            <w:pPr>
              <w:spacing w:before="120" w:after="120"/>
              <w:rPr>
                <w:rFonts w:ascii="仿宋" w:hAnsi="仿宋" w:eastAsia="仿宋"/>
                <w:b/>
                <w:color w:val="000000" w:themeColor="text1"/>
                <w:kern w:val="0"/>
                <w:sz w:val="24"/>
                <w:szCs w:val="24"/>
                <w14:textFill>
                  <w14:solidFill>
                    <w14:schemeClr w14:val="tx1"/>
                  </w14:solidFill>
                </w14:textFill>
              </w:rPr>
            </w:pPr>
          </w:p>
        </w:tc>
      </w:tr>
      <w:tr w14:paraId="1B212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8311" w:type="dxa"/>
            <w:gridSpan w:val="2"/>
          </w:tcPr>
          <w:p w14:paraId="1EC0672A">
            <w:pPr>
              <w:spacing w:before="120" w:after="120"/>
              <w:rPr>
                <w:rFonts w:ascii="仿宋" w:hAnsi="仿宋" w:eastAsia="仿宋"/>
                <w:b/>
                <w:color w:val="000000" w:themeColor="text1"/>
                <w:kern w:val="0"/>
                <w:sz w:val="24"/>
                <w:szCs w:val="24"/>
                <w14:textFill>
                  <w14:solidFill>
                    <w14:schemeClr w14:val="tx1"/>
                  </w14:solidFill>
                </w14:textFill>
              </w:rPr>
            </w:pPr>
            <w:r>
              <w:rPr>
                <w:rFonts w:hint="eastAsia" w:ascii="仿宋" w:hAnsi="仿宋" w:eastAsia="仿宋"/>
                <w:b/>
                <w:color w:val="000000" w:themeColor="text1"/>
                <w:kern w:val="0"/>
                <w:sz w:val="24"/>
                <w:szCs w:val="24"/>
                <w14:textFill>
                  <w14:solidFill>
                    <w14:schemeClr w14:val="tx1"/>
                  </w14:solidFill>
                </w14:textFill>
              </w:rPr>
              <w:t>四、售后服务和验收要求</w:t>
            </w:r>
          </w:p>
          <w:tbl>
            <w:tblPr>
              <w:tblStyle w:val="8"/>
              <w:tblW w:w="7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595"/>
              <w:gridCol w:w="4847"/>
            </w:tblGrid>
            <w:tr w14:paraId="2C8B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215E5908">
                  <w:pPr>
                    <w:spacing w:before="120" w:after="120"/>
                    <w:jc w:val="center"/>
                    <w:rPr>
                      <w:rFonts w:ascii="仿宋" w:hAnsi="仿宋" w:eastAsia="仿宋"/>
                      <w:color w:val="000000" w:themeColor="text1"/>
                      <w:kern w:val="0"/>
                      <w:sz w:val="20"/>
                      <w:szCs w:val="20"/>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序号</w:t>
                  </w:r>
                </w:p>
              </w:tc>
              <w:tc>
                <w:tcPr>
                  <w:tcW w:w="1595" w:type="dxa"/>
                  <w:shd w:val="clear" w:color="auto" w:fill="auto"/>
                  <w:vAlign w:val="center"/>
                </w:tcPr>
                <w:p w14:paraId="3782E716">
                  <w:pPr>
                    <w:spacing w:before="120" w:after="120"/>
                    <w:jc w:val="center"/>
                    <w:rPr>
                      <w:rFonts w:ascii="仿宋" w:hAnsi="仿宋" w:eastAsia="仿宋"/>
                      <w:color w:val="000000" w:themeColor="text1"/>
                      <w:kern w:val="0"/>
                      <w:sz w:val="20"/>
                      <w:szCs w:val="20"/>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目录</w:t>
                  </w:r>
                </w:p>
              </w:tc>
              <w:tc>
                <w:tcPr>
                  <w:tcW w:w="4847" w:type="dxa"/>
                  <w:shd w:val="clear" w:color="auto" w:fill="auto"/>
                  <w:vAlign w:val="center"/>
                </w:tcPr>
                <w:p w14:paraId="05572F49">
                  <w:pPr>
                    <w:spacing w:before="120" w:after="120"/>
                    <w:jc w:val="center"/>
                    <w:rPr>
                      <w:rFonts w:ascii="仿宋" w:hAnsi="仿宋" w:eastAsia="仿宋"/>
                      <w:color w:val="000000" w:themeColor="text1"/>
                      <w:kern w:val="0"/>
                      <w:sz w:val="20"/>
                      <w:szCs w:val="20"/>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售后需求</w:t>
                  </w:r>
                </w:p>
              </w:tc>
            </w:tr>
            <w:tr w14:paraId="6217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735" w:type="dxa"/>
                  <w:gridSpan w:val="3"/>
                  <w:shd w:val="clear" w:color="auto" w:fill="auto"/>
                  <w:noWrap/>
                  <w:vAlign w:val="center"/>
                </w:tcPr>
                <w:p w14:paraId="15D25467">
                  <w:pPr>
                    <w:spacing w:before="120" w:after="120"/>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（一）免费保修期内售后服务要求</w:t>
                  </w:r>
                </w:p>
              </w:tc>
            </w:tr>
            <w:tr w14:paraId="752B5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5BF7914B">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1</w:t>
                  </w:r>
                </w:p>
              </w:tc>
              <w:tc>
                <w:tcPr>
                  <w:tcW w:w="1595" w:type="dxa"/>
                  <w:shd w:val="clear" w:color="auto" w:fill="auto"/>
                  <w:vAlign w:val="center"/>
                </w:tcPr>
                <w:p w14:paraId="4F12735E">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免费保修期</w:t>
                  </w:r>
                </w:p>
              </w:tc>
              <w:tc>
                <w:tcPr>
                  <w:tcW w:w="4847" w:type="dxa"/>
                  <w:shd w:val="clear" w:color="auto" w:fill="auto"/>
                  <w:vAlign w:val="center"/>
                </w:tcPr>
                <w:p w14:paraId="0657CF00">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原厂保修，货物免费保修期___3___年，自最终验收合格之日起计算</w:t>
                  </w:r>
                </w:p>
              </w:tc>
            </w:tr>
            <w:tr w14:paraId="25666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3456D204">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2</w:t>
                  </w:r>
                </w:p>
              </w:tc>
              <w:tc>
                <w:tcPr>
                  <w:tcW w:w="1595" w:type="dxa"/>
                  <w:shd w:val="clear" w:color="auto" w:fill="auto"/>
                  <w:vAlign w:val="center"/>
                </w:tcPr>
                <w:p w14:paraId="53917998">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维修响应及故障解决时间</w:t>
                  </w:r>
                </w:p>
              </w:tc>
              <w:tc>
                <w:tcPr>
                  <w:tcW w:w="4847" w:type="dxa"/>
                  <w:shd w:val="clear" w:color="auto" w:fill="auto"/>
                  <w:vAlign w:val="center"/>
                </w:tcPr>
                <w:p w14:paraId="7E25B5AA">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在保修期内，一旦发生质量问题，中标人保证在接到通知后___2___小时内响应，___24___小时内赶到现场进行修理或更换。</w:t>
                  </w:r>
                </w:p>
              </w:tc>
            </w:tr>
            <w:tr w14:paraId="6126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0A6F2FB7">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3</w:t>
                  </w:r>
                </w:p>
              </w:tc>
              <w:tc>
                <w:tcPr>
                  <w:tcW w:w="1595" w:type="dxa"/>
                  <w:shd w:val="clear" w:color="auto" w:fill="auto"/>
                  <w:vAlign w:val="center"/>
                </w:tcPr>
                <w:p w14:paraId="6F7EA795">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培训方案</w:t>
                  </w:r>
                </w:p>
              </w:tc>
              <w:tc>
                <w:tcPr>
                  <w:tcW w:w="4847" w:type="dxa"/>
                  <w:shd w:val="clear" w:color="auto" w:fill="auto"/>
                  <w:vAlign w:val="center"/>
                </w:tcPr>
                <w:p w14:paraId="55D62546">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中标公司需要提供交钥匙服务。需要提供不少于3次的设备、每次培训时长不少于3小时、培训内容包含但不限于软硬件系统安装调试、日常操作、数据分析、维护保养等内容，直至相关老师和学生能够独立掌握系统的使用和日常维护保养，以及紧急情况的处理的工作。</w:t>
                  </w:r>
                </w:p>
              </w:tc>
            </w:tr>
            <w:tr w14:paraId="09CBF244">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trHeight w:val="397" w:hRule="atLeast"/>
                <w:jc w:val="center"/>
              </w:trPr>
              <w:tc>
                <w:tcPr>
                  <w:tcW w:w="77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B1C3D4">
                  <w:pPr>
                    <w:widowControl/>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（二）免费保修期外售后服务要求</w:t>
                  </w:r>
                </w:p>
              </w:tc>
            </w:tr>
            <w:tr w14:paraId="2599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6B3F1EA1">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1</w:t>
                  </w:r>
                </w:p>
              </w:tc>
              <w:tc>
                <w:tcPr>
                  <w:tcW w:w="1595" w:type="dxa"/>
                  <w:shd w:val="clear" w:color="auto" w:fill="auto"/>
                  <w:vAlign w:val="center"/>
                </w:tcPr>
                <w:p w14:paraId="01A906D6">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维保期外</w:t>
                  </w:r>
                </w:p>
              </w:tc>
              <w:tc>
                <w:tcPr>
                  <w:tcW w:w="4847" w:type="dxa"/>
                  <w:shd w:val="clear" w:color="auto" w:fill="auto"/>
                  <w:vAlign w:val="center"/>
                </w:tcPr>
                <w:p w14:paraId="5DEDE4CE">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中标人保证继续为采购人提供货物的维修服务，中标人以市场零售价格___8___折的配件价格向采购人提供备品备件。</w:t>
                  </w:r>
                </w:p>
              </w:tc>
            </w:tr>
            <w:tr w14:paraId="092B74A0">
              <w:tblPrEx>
                <w:tblBorders>
                  <w:top w:val="single" w:sz="40" w:space="0"/>
                  <w:left w:val="single" w:sz="40" w:space="0"/>
                  <w:bottom w:val="single" w:sz="40" w:space="0"/>
                  <w:right w:val="single" w:sz="40" w:space="0"/>
                  <w:insideH w:val="single" w:sz="40" w:space="0"/>
                  <w:insideV w:val="single" w:sz="40" w:space="0"/>
                </w:tblBorders>
                <w:tblCellMar>
                  <w:top w:w="0" w:type="dxa"/>
                  <w:left w:w="108" w:type="dxa"/>
                  <w:bottom w:w="0" w:type="dxa"/>
                  <w:right w:w="108" w:type="dxa"/>
                </w:tblCellMar>
              </w:tblPrEx>
              <w:trPr>
                <w:trHeight w:val="397" w:hRule="atLeast"/>
                <w:jc w:val="center"/>
              </w:trPr>
              <w:tc>
                <w:tcPr>
                  <w:tcW w:w="773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1DD3D8">
                  <w:pPr>
                    <w:widowControl/>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（三）其他交付要求</w:t>
                  </w:r>
                </w:p>
              </w:tc>
            </w:tr>
            <w:tr w14:paraId="0A3CF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164B96B2">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1</w:t>
                  </w:r>
                </w:p>
              </w:tc>
              <w:tc>
                <w:tcPr>
                  <w:tcW w:w="1595" w:type="dxa"/>
                  <w:shd w:val="clear" w:color="auto" w:fill="auto"/>
                  <w:vAlign w:val="center"/>
                </w:tcPr>
                <w:p w14:paraId="2B6DA902">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关于交货</w:t>
                  </w:r>
                </w:p>
              </w:tc>
              <w:tc>
                <w:tcPr>
                  <w:tcW w:w="4847" w:type="dxa"/>
                  <w:shd w:val="clear" w:color="auto" w:fill="auto"/>
                  <w:vAlign w:val="center"/>
                </w:tcPr>
                <w:p w14:paraId="3501CA66">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1.</w:t>
                  </w:r>
                  <w:r>
                    <w:rPr>
                      <w:rFonts w:hint="eastAsia" w:ascii="仿宋" w:hAnsi="仿宋" w:eastAsia="仿宋"/>
                      <w:color w:val="000000" w:themeColor="text1"/>
                      <w:kern w:val="0"/>
                      <w:sz w:val="22"/>
                      <w14:textFill>
                        <w14:solidFill>
                          <w14:schemeClr w14:val="tx1"/>
                        </w14:solidFill>
                      </w14:textFill>
                    </w:rPr>
                    <w:tab/>
                    <w:t>交货地点：香港中文大学（深圳）</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2.</w:t>
                  </w:r>
                  <w:r>
                    <w:rPr>
                      <w:rFonts w:hint="eastAsia" w:ascii="仿宋" w:hAnsi="仿宋" w:eastAsia="仿宋"/>
                      <w:color w:val="000000" w:themeColor="text1"/>
                      <w:kern w:val="0"/>
                      <w:sz w:val="22"/>
                      <w14:textFill>
                        <w14:solidFill>
                          <w14:schemeClr w14:val="tx1"/>
                        </w14:solidFill>
                      </w14:textFill>
                    </w:rPr>
                    <w:tab/>
                    <w:t>交货义务：中标人承担的货物运输、安装调试、验收检测和提供货物操作说明书、图纸等其他类似的义务。</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3.</w:t>
                  </w:r>
                  <w:r>
                    <w:rPr>
                      <w:rFonts w:hint="eastAsia" w:ascii="仿宋" w:hAnsi="仿宋" w:eastAsia="仿宋"/>
                      <w:color w:val="000000" w:themeColor="text1"/>
                      <w:kern w:val="0"/>
                      <w:sz w:val="22"/>
                      <w14:textFill>
                        <w14:solidFill>
                          <w14:schemeClr w14:val="tx1"/>
                        </w14:solidFill>
                      </w14:textFill>
                    </w:rPr>
                    <w:tab/>
                    <w:t>交货期限：签订合同后___90___天（日历日）内交货。</w:t>
                  </w:r>
                </w:p>
              </w:tc>
            </w:tr>
            <w:tr w14:paraId="1625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7E434C9C">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2</w:t>
                  </w:r>
                </w:p>
              </w:tc>
              <w:tc>
                <w:tcPr>
                  <w:tcW w:w="1595" w:type="dxa"/>
                  <w:shd w:val="clear" w:color="auto" w:fill="auto"/>
                  <w:vAlign w:val="center"/>
                </w:tcPr>
                <w:p w14:paraId="4B7CCF08">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关于验收</w:t>
                  </w:r>
                </w:p>
              </w:tc>
              <w:tc>
                <w:tcPr>
                  <w:tcW w:w="4847" w:type="dxa"/>
                  <w:shd w:val="clear" w:color="auto" w:fill="auto"/>
                  <w:vAlign w:val="center"/>
                </w:tcPr>
                <w:p w14:paraId="22905C52">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1.采购人和中标人应在交付时对货物进行开箱验货，以确认货物的数量、型号、规格等是否符合合同要求。</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2.如货物经安装、调试、试运行后验收的，中标人应在货物到货并经开箱验货合格后___10___日内完成货物安装、调试的所有工作。</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3.采购人验收合格前，除货物已由采购人实际使用的情况外，货物的一切风险（包括但不限于货物的损毁、灭失及可能的侵权等），均由中标人承担。</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4.验收时，双方按照合同约定及时对交付的货物进行验收，中标人应配合采购人的履约检查及验收。</w:t>
                  </w:r>
                  <w:r>
                    <w:rPr>
                      <w:rFonts w:hint="eastAsia" w:ascii="仿宋" w:hAnsi="仿宋" w:eastAsia="仿宋"/>
                      <w:color w:val="000000" w:themeColor="text1"/>
                      <w:kern w:val="0"/>
                      <w:sz w:val="22"/>
                      <w14:textFill>
                        <w14:solidFill>
                          <w14:schemeClr w14:val="tx1"/>
                        </w14:solidFill>
                      </w14:textFill>
                    </w:rPr>
                    <w:br w:type="textWrapping"/>
                  </w:r>
                  <w:r>
                    <w:rPr>
                      <w:rFonts w:hint="eastAsia" w:ascii="仿宋" w:hAnsi="仿宋" w:eastAsia="仿宋"/>
                      <w:color w:val="000000" w:themeColor="text1"/>
                      <w:kern w:val="0"/>
                      <w:sz w:val="22"/>
                      <w14:textFill>
                        <w14:solidFill>
                          <w14:schemeClr w14:val="tx1"/>
                        </w14:solidFill>
                      </w14:textFill>
                    </w:rPr>
                    <w:t>5.中标人货物经过大学组织的验收后，中标人需提供产品保修文件。</w:t>
                  </w:r>
                </w:p>
              </w:tc>
            </w:tr>
            <w:tr w14:paraId="5F65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93" w:type="dxa"/>
                  <w:shd w:val="clear" w:color="auto" w:fill="auto"/>
                  <w:noWrap/>
                  <w:vAlign w:val="center"/>
                </w:tcPr>
                <w:p w14:paraId="2E0DD241">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3</w:t>
                  </w:r>
                </w:p>
              </w:tc>
              <w:tc>
                <w:tcPr>
                  <w:tcW w:w="1595" w:type="dxa"/>
                  <w:shd w:val="clear" w:color="auto" w:fill="auto"/>
                  <w:vAlign w:val="center"/>
                </w:tcPr>
                <w:p w14:paraId="3A6AED87">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检测验证</w:t>
                  </w:r>
                </w:p>
              </w:tc>
              <w:tc>
                <w:tcPr>
                  <w:tcW w:w="4847" w:type="dxa"/>
                  <w:shd w:val="clear" w:color="auto" w:fill="auto"/>
                  <w:vAlign w:val="center"/>
                </w:tcPr>
                <w:p w14:paraId="2D370C73">
                  <w:pPr>
                    <w:spacing w:before="120" w:after="120"/>
                    <w:rPr>
                      <w:rFonts w:ascii="仿宋" w:hAnsi="仿宋" w:eastAsia="仿宋"/>
                      <w:color w:val="000000" w:themeColor="text1"/>
                      <w:kern w:val="0"/>
                      <w:sz w:val="22"/>
                      <w14:textFill>
                        <w14:solidFill>
                          <w14:schemeClr w14:val="tx1"/>
                        </w14:solidFill>
                      </w14:textFill>
                    </w:rPr>
                  </w:pPr>
                  <w:r>
                    <w:rPr>
                      <w:rFonts w:hint="eastAsia" w:ascii="仿宋" w:hAnsi="仿宋" w:eastAsia="仿宋"/>
                      <w:color w:val="000000" w:themeColor="text1"/>
                      <w:kern w:val="0"/>
                      <w:sz w:val="22"/>
                      <w14:textFill>
                        <w14:solidFill>
                          <w14:schemeClr w14:val="tx1"/>
                        </w14:solidFill>
                      </w14:textFill>
                    </w:rPr>
                    <w:t>如采购人发现中标人提供的货物与投标资料明显不相符且中标人不能提供证据，采购人有权直接通过第三方检测机构对于中标人提供的本项目全部或部分货物，依据投标技术响应情况逐一测试验证，其检测结果作为验证中标人提供货物与其投标资料是否相符的认定标准。如检测结果符合合同要求，其检测费用由采购人承担；如检测结果不符合合同要求，其检测费用由中标人承担。</w:t>
                  </w:r>
                </w:p>
              </w:tc>
            </w:tr>
          </w:tbl>
          <w:p w14:paraId="3F0DCF09">
            <w:pPr>
              <w:rPr>
                <w:rFonts w:ascii="仿宋" w:hAnsi="仿宋" w:eastAsia="仿宋"/>
                <w:color w:val="000000" w:themeColor="text1"/>
                <w:kern w:val="0"/>
                <w:sz w:val="22"/>
                <w14:textFill>
                  <w14:solidFill>
                    <w14:schemeClr w14:val="tx1"/>
                  </w14:solidFill>
                </w14:textFill>
              </w:rPr>
            </w:pPr>
          </w:p>
        </w:tc>
      </w:tr>
      <w:tr w14:paraId="7BE92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5" w:hRule="atLeast"/>
          <w:jc w:val="center"/>
        </w:trPr>
        <w:tc>
          <w:tcPr>
            <w:tcW w:w="8311" w:type="dxa"/>
            <w:gridSpan w:val="2"/>
          </w:tcPr>
          <w:p w14:paraId="4A34625B">
            <w:pPr>
              <w:spacing w:before="120" w:after="120"/>
              <w:rPr>
                <w:rFonts w:ascii="仿宋" w:hAnsi="仿宋" w:eastAsia="仿宋"/>
                <w:b/>
                <w:kern w:val="0"/>
                <w:sz w:val="20"/>
                <w:szCs w:val="20"/>
              </w:rPr>
            </w:pPr>
            <w:r>
              <w:rPr>
                <w:rFonts w:hint="eastAsia" w:ascii="仿宋" w:hAnsi="仿宋" w:eastAsia="仿宋"/>
                <w:b/>
                <w:kern w:val="0"/>
                <w:sz w:val="24"/>
                <w:szCs w:val="24"/>
                <w:lang w:val="en-US" w:eastAsia="zh-CN"/>
              </w:rPr>
              <w:t>五</w:t>
            </w:r>
            <w:r>
              <w:rPr>
                <w:rFonts w:hint="eastAsia" w:ascii="仿宋" w:hAnsi="仿宋" w:eastAsia="仿宋"/>
                <w:b/>
                <w:kern w:val="0"/>
                <w:sz w:val="24"/>
                <w:szCs w:val="24"/>
              </w:rPr>
              <w:t>、配套条件落实情况</w:t>
            </w:r>
          </w:p>
          <w:p w14:paraId="347C9857">
            <w:pPr>
              <w:ind w:firstLine="482" w:firstLineChars="200"/>
              <w:rPr>
                <w:rFonts w:ascii="仿宋" w:hAnsi="仿宋" w:eastAsia="仿宋"/>
                <w:kern w:val="0"/>
                <w:sz w:val="24"/>
                <w:szCs w:val="24"/>
              </w:rPr>
            </w:pPr>
            <w:r>
              <w:rPr>
                <w:rFonts w:hint="eastAsia" w:ascii="仿宋" w:hAnsi="仿宋" w:eastAsia="仿宋"/>
                <w:b/>
                <w:kern w:val="0"/>
                <w:sz w:val="24"/>
                <w:szCs w:val="24"/>
              </w:rPr>
              <w:t>主要配套条件落实情况：</w:t>
            </w:r>
            <w:r>
              <w:rPr>
                <w:rFonts w:hint="eastAsia" w:ascii="仿宋" w:hAnsi="仿宋" w:eastAsia="仿宋"/>
                <w:kern w:val="0"/>
                <w:sz w:val="24"/>
                <w:szCs w:val="24"/>
              </w:rPr>
              <w:t>（明确具体的设备物资安装和使用场地、配套设施落实情况、</w:t>
            </w:r>
            <w:r>
              <w:rPr>
                <w:rFonts w:ascii="仿宋" w:hAnsi="仿宋" w:eastAsia="仿宋"/>
                <w:kern w:val="0"/>
                <w:sz w:val="24"/>
                <w:szCs w:val="24"/>
              </w:rPr>
              <w:t>特殊的使用环境要求，水、电、防磁、防震、机房等</w:t>
            </w:r>
            <w:r>
              <w:rPr>
                <w:rFonts w:hint="eastAsia" w:ascii="仿宋" w:hAnsi="仿宋" w:eastAsia="仿宋"/>
                <w:kern w:val="0"/>
                <w:sz w:val="24"/>
                <w:szCs w:val="24"/>
              </w:rPr>
              <w:t>其他</w:t>
            </w:r>
            <w:r>
              <w:rPr>
                <w:rFonts w:ascii="仿宋" w:hAnsi="仿宋" w:eastAsia="仿宋"/>
                <w:kern w:val="0"/>
                <w:sz w:val="24"/>
                <w:szCs w:val="24"/>
              </w:rPr>
              <w:t>的配套要求，</w:t>
            </w:r>
            <w:r>
              <w:rPr>
                <w:rFonts w:hint="eastAsia" w:ascii="仿宋" w:hAnsi="仿宋" w:eastAsia="仿宋"/>
                <w:kern w:val="0"/>
                <w:sz w:val="24"/>
                <w:szCs w:val="24"/>
              </w:rPr>
              <w:t>是否有承重问题等。原则上使用大学经费采购的1</w:t>
            </w:r>
            <w:r>
              <w:rPr>
                <w:rFonts w:ascii="仿宋" w:hAnsi="仿宋" w:eastAsia="仿宋"/>
                <w:kern w:val="0"/>
                <w:sz w:val="24"/>
                <w:szCs w:val="24"/>
              </w:rPr>
              <w:t>00</w:t>
            </w:r>
            <w:r>
              <w:rPr>
                <w:rFonts w:hint="eastAsia" w:ascii="仿宋" w:hAnsi="仿宋" w:eastAsia="仿宋"/>
                <w:kern w:val="0"/>
                <w:sz w:val="24"/>
                <w:szCs w:val="24"/>
              </w:rPr>
              <w:t>万元以上的大型仪器设备，均应列入U</w:t>
            </w:r>
            <w:r>
              <w:rPr>
                <w:rFonts w:ascii="仿宋" w:hAnsi="仿宋" w:eastAsia="仿宋"/>
                <w:kern w:val="0"/>
                <w:sz w:val="24"/>
                <w:szCs w:val="24"/>
              </w:rPr>
              <w:t>CRF</w:t>
            </w:r>
            <w:r>
              <w:rPr>
                <w:rFonts w:hint="eastAsia" w:ascii="仿宋" w:hAnsi="仿宋" w:eastAsia="仿宋"/>
                <w:kern w:val="0"/>
                <w:sz w:val="24"/>
                <w:szCs w:val="24"/>
              </w:rPr>
              <w:t>统一管理，应提前明确存放地址。）</w:t>
            </w:r>
          </w:p>
          <w:p w14:paraId="12F7F0B7">
            <w:pPr>
              <w:spacing w:before="120"/>
              <w:ind w:firstLine="480" w:firstLineChars="200"/>
              <w:rPr>
                <w:rFonts w:ascii="仿宋" w:hAnsi="仿宋" w:eastAsia="仿宋"/>
                <w:kern w:val="0"/>
                <w:sz w:val="24"/>
                <w:szCs w:val="24"/>
              </w:rPr>
            </w:pPr>
            <w:r>
              <w:rPr>
                <w:rFonts w:ascii="仿宋" w:hAnsi="仿宋" w:eastAsia="仿宋"/>
                <w:kern w:val="0"/>
                <w:sz w:val="24"/>
                <w:szCs w:val="24"/>
              </w:rPr>
              <w:t>设备无特殊的使用环境要求。</w:t>
            </w:r>
          </w:p>
          <w:p w14:paraId="7601F2BB">
            <w:pPr>
              <w:pStyle w:val="23"/>
              <w:ind w:firstLine="482" w:firstLineChars="200"/>
              <w:rPr>
                <w:rFonts w:ascii="仿宋" w:hAnsi="仿宋" w:eastAsia="仿宋"/>
                <w:sz w:val="24"/>
                <w:szCs w:val="24"/>
              </w:rPr>
            </w:pPr>
            <w:r>
              <w:rPr>
                <w:rFonts w:hint="eastAsia" w:ascii="仿宋" w:hAnsi="仿宋" w:eastAsia="仿宋"/>
                <w:b/>
                <w:sz w:val="24"/>
                <w:szCs w:val="24"/>
              </w:rPr>
              <w:t>设备物资管理和维修维护落实情况：</w:t>
            </w:r>
            <w:r>
              <w:rPr>
                <w:rFonts w:hint="eastAsia" w:ascii="仿宋" w:hAnsi="仿宋" w:eastAsia="仿宋"/>
                <w:sz w:val="24"/>
                <w:szCs w:val="24"/>
              </w:rPr>
              <w:t>（符合要求的设备物资管理人员或操作人员的落实情况，应明确设备物资具体的管理人员或团队，以及后续维修维护经费的支出渠道等。）</w:t>
            </w:r>
          </w:p>
          <w:p w14:paraId="77C68AE8">
            <w:pPr>
              <w:spacing w:before="120"/>
              <w:ind w:firstLine="480" w:firstLineChars="200"/>
              <w:rPr>
                <w:rFonts w:ascii="仿宋" w:hAnsi="仿宋" w:eastAsia="仿宋"/>
                <w:kern w:val="0"/>
                <w:sz w:val="24"/>
                <w:szCs w:val="24"/>
              </w:rPr>
            </w:pPr>
            <w:r>
              <w:rPr>
                <w:rFonts w:ascii="仿宋" w:hAnsi="仿宋" w:eastAsia="仿宋"/>
                <w:kern w:val="0"/>
                <w:sz w:val="24"/>
                <w:szCs w:val="24"/>
              </w:rPr>
              <w:t>设备由专业人员负责运行维护。</w:t>
            </w:r>
          </w:p>
          <w:p w14:paraId="779F9FFC">
            <w:pPr>
              <w:spacing w:before="120"/>
              <w:ind w:firstLine="482" w:firstLineChars="200"/>
              <w:rPr>
                <w:rFonts w:ascii="仿宋" w:hAnsi="仿宋" w:eastAsia="仿宋"/>
                <w:kern w:val="0"/>
                <w:sz w:val="24"/>
                <w:szCs w:val="24"/>
              </w:rPr>
            </w:pPr>
            <w:r>
              <w:rPr>
                <w:rFonts w:hint="eastAsia" w:ascii="仿宋" w:hAnsi="仿宋" w:eastAsia="仿宋"/>
                <w:b/>
                <w:kern w:val="0"/>
                <w:sz w:val="24"/>
                <w:szCs w:val="24"/>
              </w:rPr>
              <w:t>设备管理或操作人员资格证、设备物资购置和使用许可证等的落实情况：</w:t>
            </w:r>
            <w:r>
              <w:rPr>
                <w:rFonts w:hint="eastAsia" w:ascii="仿宋" w:hAnsi="仿宋" w:eastAsia="仿宋"/>
                <w:kern w:val="0"/>
                <w:sz w:val="24"/>
                <w:szCs w:val="24"/>
              </w:rPr>
              <w:t>（</w:t>
            </w:r>
            <w:r>
              <w:rPr>
                <w:rFonts w:hint="eastAsia" w:ascii="仿宋" w:hAnsi="仿宋" w:eastAsia="仿宋"/>
                <w:sz w:val="24"/>
                <w:szCs w:val="24"/>
              </w:rPr>
              <w:t>涉及安全风险的填写。若是特种设备需取得《中华人民共和国特种设备作业人员证》或《中华人民共和国特种设备安全管理人员》，特种设备的使用许可证；放射源或射线装置所需的辐射安全许可证等。</w:t>
            </w:r>
            <w:r>
              <w:rPr>
                <w:rFonts w:hint="eastAsia" w:ascii="仿宋" w:hAnsi="仿宋" w:eastAsia="仿宋"/>
                <w:kern w:val="0"/>
                <w:sz w:val="24"/>
                <w:szCs w:val="24"/>
              </w:rPr>
              <w:t>）</w:t>
            </w:r>
          </w:p>
          <w:p w14:paraId="6DF40399">
            <w:pPr>
              <w:spacing w:before="120"/>
              <w:ind w:firstLine="480" w:firstLineChars="200"/>
              <w:rPr>
                <w:rFonts w:ascii="仿宋" w:hAnsi="仿宋" w:eastAsia="仿宋"/>
                <w:kern w:val="0"/>
                <w:sz w:val="24"/>
                <w:szCs w:val="24"/>
              </w:rPr>
            </w:pPr>
            <w:r>
              <w:rPr>
                <w:rFonts w:ascii="仿宋" w:hAnsi="仿宋" w:eastAsia="仿宋"/>
                <w:kern w:val="0"/>
                <w:sz w:val="24"/>
                <w:szCs w:val="24"/>
              </w:rPr>
              <w:t>操作该设备无特殊资质要求。</w:t>
            </w:r>
          </w:p>
          <w:p w14:paraId="5F395A49">
            <w:pPr>
              <w:spacing w:before="120"/>
              <w:ind w:firstLine="482" w:firstLineChars="200"/>
              <w:rPr>
                <w:rFonts w:ascii="仿宋" w:hAnsi="仿宋" w:eastAsia="仿宋"/>
                <w:kern w:val="0"/>
                <w:sz w:val="24"/>
                <w:szCs w:val="24"/>
              </w:rPr>
            </w:pPr>
            <w:r>
              <w:rPr>
                <w:rFonts w:hint="eastAsia" w:ascii="仿宋" w:hAnsi="仿宋" w:eastAsia="仿宋"/>
                <w:b/>
                <w:kern w:val="0"/>
                <w:sz w:val="24"/>
                <w:szCs w:val="24"/>
              </w:rPr>
              <w:t>安全风险防护措施落实情况：</w:t>
            </w:r>
            <w:r>
              <w:rPr>
                <w:rFonts w:hint="eastAsia" w:ascii="仿宋" w:hAnsi="仿宋" w:eastAsia="仿宋"/>
                <w:kern w:val="0"/>
                <w:sz w:val="24"/>
                <w:szCs w:val="24"/>
              </w:rPr>
              <w:t>（涉及安全风险的填写，涉及辐射安全、生物安全的按规定做环境安全风险评价；如</w:t>
            </w:r>
            <w:r>
              <w:rPr>
                <w:rFonts w:ascii="仿宋" w:hAnsi="仿宋" w:eastAsia="仿宋"/>
                <w:kern w:val="0"/>
                <w:sz w:val="24"/>
                <w:szCs w:val="24"/>
              </w:rPr>
              <w:t>涉及污染物、废弃物排放</w:t>
            </w:r>
            <w:r>
              <w:rPr>
                <w:rFonts w:hint="eastAsia" w:ascii="仿宋" w:hAnsi="仿宋" w:eastAsia="仿宋"/>
                <w:kern w:val="0"/>
                <w:sz w:val="24"/>
                <w:szCs w:val="24"/>
              </w:rPr>
              <w:t>、危险品和易燃易爆等危险因素，</w:t>
            </w:r>
            <w:r>
              <w:rPr>
                <w:rFonts w:ascii="仿宋" w:hAnsi="仿宋" w:eastAsia="仿宋"/>
                <w:kern w:val="0"/>
                <w:sz w:val="24"/>
                <w:szCs w:val="24"/>
              </w:rPr>
              <w:t>则应提出计划的处理方式</w:t>
            </w:r>
            <w:r>
              <w:rPr>
                <w:rFonts w:hint="eastAsia" w:ascii="仿宋" w:hAnsi="仿宋" w:eastAsia="仿宋"/>
                <w:kern w:val="0"/>
                <w:sz w:val="24"/>
                <w:szCs w:val="24"/>
              </w:rPr>
              <w:t>。）</w:t>
            </w:r>
          </w:p>
          <w:p w14:paraId="39C94EE9">
            <w:pPr>
              <w:spacing w:before="120"/>
              <w:ind w:firstLine="480" w:firstLineChars="200"/>
              <w:rPr>
                <w:rFonts w:ascii="仿宋" w:hAnsi="仿宋" w:eastAsia="仿宋"/>
                <w:b/>
                <w:kern w:val="0"/>
                <w:sz w:val="20"/>
                <w:szCs w:val="20"/>
              </w:rPr>
            </w:pPr>
            <w:r>
              <w:rPr>
                <w:rFonts w:ascii="仿宋" w:hAnsi="仿宋" w:eastAsia="仿宋"/>
                <w:kern w:val="0"/>
                <w:sz w:val="24"/>
                <w:szCs w:val="24"/>
              </w:rPr>
              <w:t>该设备不涉及到安全风险防护等相关问题。</w:t>
            </w:r>
          </w:p>
        </w:tc>
      </w:tr>
      <w:tr w14:paraId="6772F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9" w:hRule="atLeast"/>
          <w:jc w:val="center"/>
        </w:trPr>
        <w:tc>
          <w:tcPr>
            <w:tcW w:w="8311" w:type="dxa"/>
            <w:gridSpan w:val="2"/>
          </w:tcPr>
          <w:p w14:paraId="4A875017">
            <w:pPr>
              <w:spacing w:before="120" w:after="120"/>
              <w:rPr>
                <w:rFonts w:ascii="仿宋" w:hAnsi="仿宋" w:eastAsia="仿宋"/>
                <w:b/>
                <w:kern w:val="0"/>
                <w:sz w:val="24"/>
                <w:szCs w:val="24"/>
              </w:rPr>
            </w:pPr>
            <w:r>
              <w:rPr>
                <w:rFonts w:hint="eastAsia" w:ascii="仿宋" w:hAnsi="仿宋" w:eastAsia="仿宋"/>
                <w:b/>
                <w:kern w:val="0"/>
                <w:sz w:val="24"/>
                <w:szCs w:val="24"/>
                <w:lang w:val="en-US" w:eastAsia="zh-CN"/>
              </w:rPr>
              <w:t>六</w:t>
            </w:r>
            <w:r>
              <w:rPr>
                <w:rFonts w:hint="eastAsia" w:ascii="仿宋" w:hAnsi="仿宋" w:eastAsia="仿宋"/>
                <w:b/>
                <w:kern w:val="0"/>
                <w:sz w:val="24"/>
                <w:szCs w:val="24"/>
              </w:rPr>
              <w:t>、购置合规性</w:t>
            </w:r>
          </w:p>
          <w:p w14:paraId="767312A5">
            <w:pPr>
              <w:spacing w:before="120"/>
              <w:ind w:firstLine="480" w:firstLineChars="200"/>
              <w:rPr>
                <w:rFonts w:ascii="仿宋" w:hAnsi="仿宋" w:eastAsia="仿宋"/>
                <w:kern w:val="0"/>
                <w:sz w:val="24"/>
                <w:szCs w:val="24"/>
              </w:rPr>
            </w:pPr>
            <w:r>
              <w:rPr>
                <w:rFonts w:hint="eastAsia" w:ascii="仿宋" w:hAnsi="仿宋" w:eastAsia="仿宋"/>
                <w:kern w:val="0"/>
                <w:sz w:val="24"/>
                <w:szCs w:val="24"/>
              </w:rPr>
              <w:t>（配置是否符合国家及学校规定的配置标准，对属于国家或地方控制采购的设备物资，特别审批或许可产品是否已取得购置许可等。是否符合国家安全、卫生、环保等强制性规定）</w:t>
            </w:r>
          </w:p>
          <w:p w14:paraId="0B347DFB">
            <w:pPr>
              <w:spacing w:before="120"/>
              <w:ind w:firstLine="720" w:firstLineChars="300"/>
              <w:rPr>
                <w:rFonts w:ascii="仿宋" w:hAnsi="仿宋" w:eastAsia="仿宋"/>
                <w:kern w:val="0"/>
                <w:sz w:val="24"/>
                <w:szCs w:val="24"/>
              </w:rPr>
            </w:pPr>
            <w:r>
              <w:rPr>
                <w:rFonts w:ascii="仿宋" w:hAnsi="仿宋" w:eastAsia="仿宋"/>
                <w:kern w:val="0"/>
                <w:sz w:val="24"/>
                <w:szCs w:val="24"/>
              </w:rPr>
              <w:t>设备符合国家及学校规定的配置标准，不属于国家或地方控制采购的设备物资，无需特别审批和特殊购置证，不属于国家安全、卫生、环保等强制性规定的范围。</w:t>
            </w:r>
          </w:p>
          <w:p w14:paraId="7FEF5B1C">
            <w:pPr>
              <w:rPr>
                <w:rFonts w:ascii="仿宋" w:hAnsi="仿宋" w:eastAsia="仿宋"/>
                <w:kern w:val="0"/>
                <w:sz w:val="24"/>
                <w:szCs w:val="24"/>
              </w:rPr>
            </w:pPr>
          </w:p>
        </w:tc>
      </w:tr>
      <w:tr w14:paraId="14C68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4" w:hRule="atLeast"/>
          <w:jc w:val="center"/>
        </w:trPr>
        <w:tc>
          <w:tcPr>
            <w:tcW w:w="8311" w:type="dxa"/>
            <w:gridSpan w:val="2"/>
          </w:tcPr>
          <w:p w14:paraId="194ADD53">
            <w:pPr>
              <w:spacing w:before="120" w:after="120"/>
              <w:rPr>
                <w:rFonts w:ascii="仿宋" w:hAnsi="仿宋" w:eastAsia="仿宋"/>
                <w:b/>
                <w:kern w:val="0"/>
                <w:sz w:val="24"/>
                <w:szCs w:val="24"/>
              </w:rPr>
            </w:pPr>
            <w:r>
              <w:rPr>
                <w:rFonts w:hint="eastAsia" w:ascii="仿宋" w:hAnsi="仿宋" w:eastAsia="仿宋"/>
                <w:b/>
                <w:kern w:val="0"/>
                <w:sz w:val="24"/>
                <w:szCs w:val="24"/>
                <w:lang w:val="en-US" w:eastAsia="zh-CN"/>
              </w:rPr>
              <w:t>七</w:t>
            </w:r>
            <w:r>
              <w:rPr>
                <w:rFonts w:hint="eastAsia" w:ascii="仿宋" w:hAnsi="仿宋" w:eastAsia="仿宋"/>
                <w:b/>
                <w:kern w:val="0"/>
                <w:sz w:val="24"/>
                <w:szCs w:val="24"/>
              </w:rPr>
              <w:t>、共享方案（含校内外）</w:t>
            </w:r>
          </w:p>
          <w:p w14:paraId="58874EA2">
            <w:pPr>
              <w:ind w:firstLine="480" w:firstLineChars="200"/>
              <w:rPr>
                <w:rFonts w:ascii="仿宋" w:hAnsi="仿宋" w:eastAsia="仿宋"/>
                <w:b/>
                <w:kern w:val="0"/>
                <w:sz w:val="24"/>
                <w:szCs w:val="24"/>
              </w:rPr>
            </w:pPr>
            <w:r>
              <w:rPr>
                <w:rFonts w:hint="eastAsia" w:ascii="仿宋" w:hAnsi="仿宋" w:eastAsia="仿宋"/>
                <w:kern w:val="0"/>
                <w:sz w:val="24"/>
                <w:szCs w:val="24"/>
              </w:rPr>
              <w:t>（根据国家和地方的相关要求，所有设备均应向全校无条件开放共享，单台件≥</w:t>
            </w:r>
            <w:r>
              <w:rPr>
                <w:rFonts w:ascii="仿宋" w:hAnsi="仿宋" w:eastAsia="仿宋"/>
                <w:kern w:val="0"/>
                <w:sz w:val="24"/>
                <w:szCs w:val="24"/>
              </w:rPr>
              <w:t>50</w:t>
            </w:r>
            <w:r>
              <w:rPr>
                <w:rFonts w:hint="eastAsia" w:ascii="仿宋" w:hAnsi="仿宋" w:eastAsia="仿宋"/>
                <w:kern w:val="0"/>
                <w:sz w:val="24"/>
                <w:szCs w:val="24"/>
              </w:rPr>
              <w:t>万的设备应按规定向社会开放共享)</w:t>
            </w:r>
          </w:p>
          <w:p w14:paraId="55076DDB">
            <w:pPr>
              <w:spacing w:before="120"/>
              <w:ind w:firstLine="720" w:firstLineChars="300"/>
              <w:rPr>
                <w:rFonts w:ascii="仿宋" w:hAnsi="仿宋" w:eastAsia="仿宋"/>
                <w:kern w:val="0"/>
                <w:sz w:val="24"/>
                <w:szCs w:val="24"/>
              </w:rPr>
            </w:pPr>
            <w:r>
              <w:rPr>
                <w:rFonts w:ascii="仿宋" w:hAnsi="仿宋" w:eastAsia="仿宋"/>
                <w:kern w:val="0"/>
                <w:sz w:val="24"/>
                <w:szCs w:val="24"/>
              </w:rPr>
              <w:t>本设备可按照相关法规要求对外开放共享。</w:t>
            </w:r>
          </w:p>
        </w:tc>
      </w:tr>
      <w:tr w14:paraId="274B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jc w:val="center"/>
        </w:trPr>
        <w:tc>
          <w:tcPr>
            <w:tcW w:w="8311" w:type="dxa"/>
            <w:gridSpan w:val="2"/>
          </w:tcPr>
          <w:p w14:paraId="4FF967CF">
            <w:pPr>
              <w:pStyle w:val="6"/>
              <w:spacing w:before="120" w:beforeAutospacing="0" w:after="120" w:afterAutospacing="0"/>
              <w:rPr>
                <w:rFonts w:ascii="仿宋" w:hAnsi="仿宋" w:eastAsia="仿宋"/>
                <w:b/>
              </w:rPr>
            </w:pPr>
            <w:r>
              <w:rPr>
                <w:rFonts w:hint="eastAsia" w:ascii="仿宋" w:hAnsi="仿宋" w:eastAsia="仿宋"/>
                <w:lang w:val="en-US" w:eastAsia="zh-CN"/>
              </w:rPr>
              <w:t>八</w:t>
            </w:r>
            <w:r>
              <w:rPr>
                <w:rFonts w:hint="eastAsia" w:ascii="仿宋" w:hAnsi="仿宋" w:eastAsia="仿宋"/>
                <w:b/>
              </w:rPr>
              <w:t>、专家论证意见</w:t>
            </w:r>
          </w:p>
          <w:p w14:paraId="46FC9EE6">
            <w:pPr>
              <w:ind w:firstLine="480" w:firstLineChars="200"/>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 xml:space="preserve"> 拟采购的三维测力台及三维运动解析系统体育教学实验设备能够满足大学体育教学与相关科研工作的实际需求，购置理由充分。项目已落实安装及使用场地，配套设施条件，整体实施可行。根据前期市场调研情况。</w:t>
            </w:r>
            <w:r>
              <w:rPr>
                <w:rFonts w:ascii="仿宋" w:hAnsi="仿宋" w:eastAsia="仿宋"/>
                <w:color w:val="000000" w:themeColor="text1"/>
                <w:kern w:val="0"/>
                <w:sz w:val="24"/>
                <w:szCs w:val="24"/>
                <w14:textFill>
                  <w14:solidFill>
                    <w14:schemeClr w14:val="tx1"/>
                  </w14:solidFill>
                </w14:textFill>
              </w:rPr>
              <w:br w:type="textWrapping"/>
            </w:r>
            <w:r>
              <w:rPr>
                <w:rFonts w:ascii="仿宋" w:hAnsi="仿宋" w:eastAsia="仿宋"/>
                <w:color w:val="000000" w:themeColor="text1"/>
                <w:kern w:val="0"/>
                <w:sz w:val="24"/>
                <w:szCs w:val="24"/>
                <w14:textFill>
                  <w14:solidFill>
                    <w14:schemeClr w14:val="tx1"/>
                  </w14:solidFill>
                </w14:textFill>
              </w:rPr>
              <w:t xml:space="preserve">     项目拟采购的进口三维测力台及三维运动解析系统等核心设备，在同步误差控制、采集频率和测量精度等关键指标方面优于国产同类产品，国产产品难以满足开展运动生物力学教学与科研的需求，因此本项目符合接受进口产品的条件。</w:t>
            </w:r>
            <w:r>
              <w:rPr>
                <w:rFonts w:ascii="仿宋" w:hAnsi="仿宋" w:eastAsia="仿宋"/>
                <w:color w:val="000000" w:themeColor="text1"/>
                <w:kern w:val="0"/>
                <w:sz w:val="24"/>
                <w:szCs w:val="24"/>
                <w14:textFill>
                  <w14:solidFill>
                    <w14:schemeClr w14:val="tx1"/>
                  </w14:solidFill>
                </w14:textFill>
              </w:rPr>
              <w:br w:type="textWrapping"/>
            </w:r>
            <w:r>
              <w:rPr>
                <w:rFonts w:ascii="仿宋" w:hAnsi="仿宋" w:eastAsia="仿宋"/>
                <w:color w:val="000000" w:themeColor="text1"/>
                <w:kern w:val="0"/>
                <w:sz w:val="24"/>
                <w:szCs w:val="24"/>
                <w14:textFill>
                  <w14:solidFill>
                    <w14:schemeClr w14:val="tx1"/>
                  </w14:solidFill>
                </w14:textFill>
              </w:rPr>
              <w:t xml:space="preserve">     专家组一致同意通过“体育教学实验设备购置项目”的论证。</w:t>
            </w:r>
            <w:bookmarkStart w:id="0" w:name="_GoBack"/>
            <w:bookmarkEnd w:id="0"/>
          </w:p>
        </w:tc>
      </w:tr>
    </w:tbl>
    <w:p w14:paraId="79C5DE2D">
      <w:pPr>
        <w:spacing w:line="400" w:lineRule="exact"/>
        <w:rPr>
          <w:rFonts w:ascii="仿宋" w:hAnsi="仿宋" w:eastAsia="仿宋"/>
          <w:sz w:val="24"/>
          <w:szCs w:val="24"/>
        </w:rPr>
      </w:pPr>
    </w:p>
    <w:sectPr>
      <w:headerReference r:id="rId3" w:type="default"/>
      <w:footerReference r:id="rId4"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201789"/>
      <w:docPartObj>
        <w:docPartGallery w:val="autotext"/>
      </w:docPartObj>
    </w:sdtPr>
    <w:sdtEndPr>
      <w:rPr>
        <w:rFonts w:ascii="Times New Roman" w:hAnsi="Times New Roman" w:cs="Times New Roman"/>
      </w:rPr>
    </w:sdtEndPr>
    <w:sdtContent>
      <w:p w14:paraId="4D5EEF6A">
        <w:pPr>
          <w:pStyle w:val="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14:paraId="3E475E3B">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01A7D">
    <w:pPr>
      <w:pStyle w:val="5"/>
      <w:jc w:val="left"/>
    </w:pPr>
    <w:r>
      <w:rPr>
        <w:rFonts w:hint="eastAsia" w:ascii="宋体" w:hAnsi="宋体" w:eastAsia="宋体" w:cs="宋体"/>
        <w:kern w:val="0"/>
        <w:sz w:val="24"/>
        <w:szCs w:val="24"/>
      </w:rPr>
      <w:drawing>
        <wp:inline distT="0" distB="0" distL="0" distR="0">
          <wp:extent cx="2386965" cy="4267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1E41EE"/>
    <w:multiLevelType w:val="multilevel"/>
    <w:tmpl w:val="631E41E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B04BE4"/>
    <w:rsid w:val="000007E9"/>
    <w:rsid w:val="0000080F"/>
    <w:rsid w:val="0000713A"/>
    <w:rsid w:val="00013730"/>
    <w:rsid w:val="00015208"/>
    <w:rsid w:val="00021248"/>
    <w:rsid w:val="00023FA0"/>
    <w:rsid w:val="00024E20"/>
    <w:rsid w:val="00025D62"/>
    <w:rsid w:val="000275D4"/>
    <w:rsid w:val="00027EA7"/>
    <w:rsid w:val="000371C2"/>
    <w:rsid w:val="000456A0"/>
    <w:rsid w:val="000536B1"/>
    <w:rsid w:val="00053DA1"/>
    <w:rsid w:val="00071662"/>
    <w:rsid w:val="000753F8"/>
    <w:rsid w:val="00077F09"/>
    <w:rsid w:val="000801A9"/>
    <w:rsid w:val="00084CBC"/>
    <w:rsid w:val="00093892"/>
    <w:rsid w:val="000A0FCC"/>
    <w:rsid w:val="000A3A04"/>
    <w:rsid w:val="000B22F0"/>
    <w:rsid w:val="000C0741"/>
    <w:rsid w:val="000D468A"/>
    <w:rsid w:val="000E0FC6"/>
    <w:rsid w:val="000E177A"/>
    <w:rsid w:val="000E75E3"/>
    <w:rsid w:val="000F5E70"/>
    <w:rsid w:val="000F7CAB"/>
    <w:rsid w:val="00103BA0"/>
    <w:rsid w:val="00105D75"/>
    <w:rsid w:val="00111DC1"/>
    <w:rsid w:val="0011217F"/>
    <w:rsid w:val="00170D46"/>
    <w:rsid w:val="0017413F"/>
    <w:rsid w:val="00174EB9"/>
    <w:rsid w:val="0019674A"/>
    <w:rsid w:val="001B089C"/>
    <w:rsid w:val="001C3302"/>
    <w:rsid w:val="001C7052"/>
    <w:rsid w:val="001D1375"/>
    <w:rsid w:val="001D46C8"/>
    <w:rsid w:val="001F4E40"/>
    <w:rsid w:val="001F7A18"/>
    <w:rsid w:val="0020045D"/>
    <w:rsid w:val="00204EC8"/>
    <w:rsid w:val="0020788C"/>
    <w:rsid w:val="00210766"/>
    <w:rsid w:val="00211962"/>
    <w:rsid w:val="002154BF"/>
    <w:rsid w:val="002229C7"/>
    <w:rsid w:val="002261D3"/>
    <w:rsid w:val="002308EB"/>
    <w:rsid w:val="00230CE6"/>
    <w:rsid w:val="002313C6"/>
    <w:rsid w:val="0023186B"/>
    <w:rsid w:val="0023648B"/>
    <w:rsid w:val="00237049"/>
    <w:rsid w:val="00237B27"/>
    <w:rsid w:val="002452E7"/>
    <w:rsid w:val="0025706E"/>
    <w:rsid w:val="00261BBF"/>
    <w:rsid w:val="00266DDD"/>
    <w:rsid w:val="00280713"/>
    <w:rsid w:val="002821D4"/>
    <w:rsid w:val="002855C4"/>
    <w:rsid w:val="002A1207"/>
    <w:rsid w:val="002A548E"/>
    <w:rsid w:val="002A5767"/>
    <w:rsid w:val="002A7CF1"/>
    <w:rsid w:val="002B5FEC"/>
    <w:rsid w:val="002C10A2"/>
    <w:rsid w:val="002C1242"/>
    <w:rsid w:val="002C5D87"/>
    <w:rsid w:val="002C7052"/>
    <w:rsid w:val="002D40E4"/>
    <w:rsid w:val="002D617E"/>
    <w:rsid w:val="002E1004"/>
    <w:rsid w:val="002E1CF6"/>
    <w:rsid w:val="002E5464"/>
    <w:rsid w:val="002E6085"/>
    <w:rsid w:val="002E74F6"/>
    <w:rsid w:val="002F35C2"/>
    <w:rsid w:val="002F754D"/>
    <w:rsid w:val="003040C7"/>
    <w:rsid w:val="003061BB"/>
    <w:rsid w:val="00315607"/>
    <w:rsid w:val="0032440F"/>
    <w:rsid w:val="00326660"/>
    <w:rsid w:val="00345EB9"/>
    <w:rsid w:val="00354D28"/>
    <w:rsid w:val="00377F80"/>
    <w:rsid w:val="0038270F"/>
    <w:rsid w:val="0038563A"/>
    <w:rsid w:val="00397FCC"/>
    <w:rsid w:val="003B0EA0"/>
    <w:rsid w:val="003B176E"/>
    <w:rsid w:val="003B421D"/>
    <w:rsid w:val="003C25AC"/>
    <w:rsid w:val="003D4A41"/>
    <w:rsid w:val="003E10A8"/>
    <w:rsid w:val="003E622C"/>
    <w:rsid w:val="003F2742"/>
    <w:rsid w:val="003F654C"/>
    <w:rsid w:val="004033FE"/>
    <w:rsid w:val="00414FF1"/>
    <w:rsid w:val="004307B7"/>
    <w:rsid w:val="0043515E"/>
    <w:rsid w:val="00444271"/>
    <w:rsid w:val="004459E7"/>
    <w:rsid w:val="00451D10"/>
    <w:rsid w:val="00455001"/>
    <w:rsid w:val="004574FC"/>
    <w:rsid w:val="00463491"/>
    <w:rsid w:val="004739EC"/>
    <w:rsid w:val="004839EF"/>
    <w:rsid w:val="00486237"/>
    <w:rsid w:val="0049191C"/>
    <w:rsid w:val="004921D1"/>
    <w:rsid w:val="004B6D02"/>
    <w:rsid w:val="004C510A"/>
    <w:rsid w:val="004C54C3"/>
    <w:rsid w:val="004C6268"/>
    <w:rsid w:val="004D734F"/>
    <w:rsid w:val="004F1CEF"/>
    <w:rsid w:val="00503B6F"/>
    <w:rsid w:val="0051303D"/>
    <w:rsid w:val="00523968"/>
    <w:rsid w:val="00527533"/>
    <w:rsid w:val="00532F50"/>
    <w:rsid w:val="00533D25"/>
    <w:rsid w:val="00537370"/>
    <w:rsid w:val="00545322"/>
    <w:rsid w:val="0055129C"/>
    <w:rsid w:val="00555390"/>
    <w:rsid w:val="0057356C"/>
    <w:rsid w:val="00580115"/>
    <w:rsid w:val="0058096A"/>
    <w:rsid w:val="005861B2"/>
    <w:rsid w:val="0059669A"/>
    <w:rsid w:val="005A0713"/>
    <w:rsid w:val="005A0BFD"/>
    <w:rsid w:val="005A109B"/>
    <w:rsid w:val="005A3C80"/>
    <w:rsid w:val="005B19D7"/>
    <w:rsid w:val="005B7A85"/>
    <w:rsid w:val="005D6E64"/>
    <w:rsid w:val="005E1689"/>
    <w:rsid w:val="006105C6"/>
    <w:rsid w:val="00624683"/>
    <w:rsid w:val="00626A1A"/>
    <w:rsid w:val="00641BB1"/>
    <w:rsid w:val="00646FD7"/>
    <w:rsid w:val="0065564A"/>
    <w:rsid w:val="00657D55"/>
    <w:rsid w:val="00662994"/>
    <w:rsid w:val="0067230D"/>
    <w:rsid w:val="0067365B"/>
    <w:rsid w:val="00691054"/>
    <w:rsid w:val="00695CDB"/>
    <w:rsid w:val="006A3C43"/>
    <w:rsid w:val="006A43B2"/>
    <w:rsid w:val="006B6974"/>
    <w:rsid w:val="006C4006"/>
    <w:rsid w:val="006C4494"/>
    <w:rsid w:val="006C5427"/>
    <w:rsid w:val="006C6225"/>
    <w:rsid w:val="006C7112"/>
    <w:rsid w:val="006D093D"/>
    <w:rsid w:val="006D6F3D"/>
    <w:rsid w:val="006F540E"/>
    <w:rsid w:val="0070380C"/>
    <w:rsid w:val="00705B28"/>
    <w:rsid w:val="0070752F"/>
    <w:rsid w:val="00710EE3"/>
    <w:rsid w:val="00711596"/>
    <w:rsid w:val="0071307F"/>
    <w:rsid w:val="007174F0"/>
    <w:rsid w:val="00746A6F"/>
    <w:rsid w:val="00757A16"/>
    <w:rsid w:val="00757C00"/>
    <w:rsid w:val="00764E69"/>
    <w:rsid w:val="00792656"/>
    <w:rsid w:val="007941FC"/>
    <w:rsid w:val="00794E9B"/>
    <w:rsid w:val="007A56EC"/>
    <w:rsid w:val="007B6179"/>
    <w:rsid w:val="007C21F6"/>
    <w:rsid w:val="007C7167"/>
    <w:rsid w:val="007D3051"/>
    <w:rsid w:val="007D3562"/>
    <w:rsid w:val="007E0114"/>
    <w:rsid w:val="007E1244"/>
    <w:rsid w:val="007E2526"/>
    <w:rsid w:val="007E74AE"/>
    <w:rsid w:val="007F2298"/>
    <w:rsid w:val="007F3968"/>
    <w:rsid w:val="00804B0A"/>
    <w:rsid w:val="0081415F"/>
    <w:rsid w:val="00820C61"/>
    <w:rsid w:val="0084175F"/>
    <w:rsid w:val="00852811"/>
    <w:rsid w:val="008529A8"/>
    <w:rsid w:val="00855A49"/>
    <w:rsid w:val="00856FD4"/>
    <w:rsid w:val="008623E3"/>
    <w:rsid w:val="0086722F"/>
    <w:rsid w:val="0087093B"/>
    <w:rsid w:val="00871729"/>
    <w:rsid w:val="0087425D"/>
    <w:rsid w:val="00882B5E"/>
    <w:rsid w:val="00882DB1"/>
    <w:rsid w:val="0088769F"/>
    <w:rsid w:val="00893F5B"/>
    <w:rsid w:val="00894848"/>
    <w:rsid w:val="00896D02"/>
    <w:rsid w:val="008A0B9A"/>
    <w:rsid w:val="008A15A2"/>
    <w:rsid w:val="008A2399"/>
    <w:rsid w:val="008B0E86"/>
    <w:rsid w:val="008B2F22"/>
    <w:rsid w:val="008C766B"/>
    <w:rsid w:val="008D799F"/>
    <w:rsid w:val="008E0495"/>
    <w:rsid w:val="008E14B1"/>
    <w:rsid w:val="008F7521"/>
    <w:rsid w:val="00901AD1"/>
    <w:rsid w:val="0090436B"/>
    <w:rsid w:val="009051EB"/>
    <w:rsid w:val="00906EE7"/>
    <w:rsid w:val="009106FB"/>
    <w:rsid w:val="00911D02"/>
    <w:rsid w:val="00911FF7"/>
    <w:rsid w:val="009144A0"/>
    <w:rsid w:val="00916F56"/>
    <w:rsid w:val="00917F0B"/>
    <w:rsid w:val="009362DE"/>
    <w:rsid w:val="0094201E"/>
    <w:rsid w:val="00950DC6"/>
    <w:rsid w:val="00951123"/>
    <w:rsid w:val="00951F63"/>
    <w:rsid w:val="00956FA6"/>
    <w:rsid w:val="00957061"/>
    <w:rsid w:val="009604DF"/>
    <w:rsid w:val="00960F94"/>
    <w:rsid w:val="00962F13"/>
    <w:rsid w:val="009670DE"/>
    <w:rsid w:val="0096735F"/>
    <w:rsid w:val="009719EF"/>
    <w:rsid w:val="0097570C"/>
    <w:rsid w:val="00983721"/>
    <w:rsid w:val="00984E3A"/>
    <w:rsid w:val="009924DF"/>
    <w:rsid w:val="009930B1"/>
    <w:rsid w:val="00994959"/>
    <w:rsid w:val="009A5E21"/>
    <w:rsid w:val="009B2894"/>
    <w:rsid w:val="009B4E5B"/>
    <w:rsid w:val="009D060F"/>
    <w:rsid w:val="009D427C"/>
    <w:rsid w:val="009D4D1F"/>
    <w:rsid w:val="009E0374"/>
    <w:rsid w:val="009E765A"/>
    <w:rsid w:val="009E7D93"/>
    <w:rsid w:val="009F2E1A"/>
    <w:rsid w:val="009F4F93"/>
    <w:rsid w:val="00A041D1"/>
    <w:rsid w:val="00A06656"/>
    <w:rsid w:val="00A102CA"/>
    <w:rsid w:val="00A14934"/>
    <w:rsid w:val="00A16161"/>
    <w:rsid w:val="00A24E6B"/>
    <w:rsid w:val="00A2727D"/>
    <w:rsid w:val="00A33370"/>
    <w:rsid w:val="00A43067"/>
    <w:rsid w:val="00A53B6B"/>
    <w:rsid w:val="00A55E4F"/>
    <w:rsid w:val="00A66482"/>
    <w:rsid w:val="00A86089"/>
    <w:rsid w:val="00A9222D"/>
    <w:rsid w:val="00A93DCE"/>
    <w:rsid w:val="00AA2C0B"/>
    <w:rsid w:val="00AC04EC"/>
    <w:rsid w:val="00AC0A6B"/>
    <w:rsid w:val="00AF2075"/>
    <w:rsid w:val="00AF4E11"/>
    <w:rsid w:val="00B01981"/>
    <w:rsid w:val="00B02836"/>
    <w:rsid w:val="00B02D8D"/>
    <w:rsid w:val="00B04BE4"/>
    <w:rsid w:val="00B05133"/>
    <w:rsid w:val="00B1093F"/>
    <w:rsid w:val="00B23043"/>
    <w:rsid w:val="00B23D89"/>
    <w:rsid w:val="00B33728"/>
    <w:rsid w:val="00B36814"/>
    <w:rsid w:val="00B4279B"/>
    <w:rsid w:val="00B46D85"/>
    <w:rsid w:val="00B56405"/>
    <w:rsid w:val="00B62331"/>
    <w:rsid w:val="00B73B44"/>
    <w:rsid w:val="00B83B59"/>
    <w:rsid w:val="00B865E2"/>
    <w:rsid w:val="00B901BB"/>
    <w:rsid w:val="00B939CB"/>
    <w:rsid w:val="00B97359"/>
    <w:rsid w:val="00BA20A5"/>
    <w:rsid w:val="00BA2202"/>
    <w:rsid w:val="00BA3EB8"/>
    <w:rsid w:val="00BB00E9"/>
    <w:rsid w:val="00BB6589"/>
    <w:rsid w:val="00BC3943"/>
    <w:rsid w:val="00BC42A7"/>
    <w:rsid w:val="00BC6829"/>
    <w:rsid w:val="00BC7916"/>
    <w:rsid w:val="00BD4098"/>
    <w:rsid w:val="00BD4AFC"/>
    <w:rsid w:val="00BD5CE9"/>
    <w:rsid w:val="00BE704E"/>
    <w:rsid w:val="00BF2D7B"/>
    <w:rsid w:val="00C049C9"/>
    <w:rsid w:val="00C103CD"/>
    <w:rsid w:val="00C239F1"/>
    <w:rsid w:val="00C4413B"/>
    <w:rsid w:val="00C6281E"/>
    <w:rsid w:val="00C73017"/>
    <w:rsid w:val="00C82864"/>
    <w:rsid w:val="00C83EA1"/>
    <w:rsid w:val="00CA2BF3"/>
    <w:rsid w:val="00CA4517"/>
    <w:rsid w:val="00CA5059"/>
    <w:rsid w:val="00CB226C"/>
    <w:rsid w:val="00CB2510"/>
    <w:rsid w:val="00CC0CA8"/>
    <w:rsid w:val="00CC28B9"/>
    <w:rsid w:val="00CC3B66"/>
    <w:rsid w:val="00CC5C1E"/>
    <w:rsid w:val="00CD3DFA"/>
    <w:rsid w:val="00CD410A"/>
    <w:rsid w:val="00CD5A22"/>
    <w:rsid w:val="00CD7D2B"/>
    <w:rsid w:val="00CE0737"/>
    <w:rsid w:val="00CE0937"/>
    <w:rsid w:val="00CE0D49"/>
    <w:rsid w:val="00CE54B2"/>
    <w:rsid w:val="00D00814"/>
    <w:rsid w:val="00D069AC"/>
    <w:rsid w:val="00D113AC"/>
    <w:rsid w:val="00D11448"/>
    <w:rsid w:val="00D11BCF"/>
    <w:rsid w:val="00D21B1C"/>
    <w:rsid w:val="00D22AFF"/>
    <w:rsid w:val="00D35CC7"/>
    <w:rsid w:val="00D361D6"/>
    <w:rsid w:val="00D40ABB"/>
    <w:rsid w:val="00D41D7E"/>
    <w:rsid w:val="00D42000"/>
    <w:rsid w:val="00D4377D"/>
    <w:rsid w:val="00D66EA8"/>
    <w:rsid w:val="00D67191"/>
    <w:rsid w:val="00D7278C"/>
    <w:rsid w:val="00D8220F"/>
    <w:rsid w:val="00D854E0"/>
    <w:rsid w:val="00D86272"/>
    <w:rsid w:val="00D873E2"/>
    <w:rsid w:val="00D90906"/>
    <w:rsid w:val="00D966F2"/>
    <w:rsid w:val="00DA36F3"/>
    <w:rsid w:val="00DA4610"/>
    <w:rsid w:val="00DA4C55"/>
    <w:rsid w:val="00DA6DF1"/>
    <w:rsid w:val="00DC33B7"/>
    <w:rsid w:val="00DC49E6"/>
    <w:rsid w:val="00DD1C6B"/>
    <w:rsid w:val="00DD2BDE"/>
    <w:rsid w:val="00DD31A4"/>
    <w:rsid w:val="00DD5420"/>
    <w:rsid w:val="00DE1315"/>
    <w:rsid w:val="00DE2B30"/>
    <w:rsid w:val="00DE3D0E"/>
    <w:rsid w:val="00DE3E98"/>
    <w:rsid w:val="00DE558F"/>
    <w:rsid w:val="00DE6A22"/>
    <w:rsid w:val="00DF796F"/>
    <w:rsid w:val="00E06457"/>
    <w:rsid w:val="00E06DD3"/>
    <w:rsid w:val="00E13D9E"/>
    <w:rsid w:val="00E2042F"/>
    <w:rsid w:val="00E41CD6"/>
    <w:rsid w:val="00E460AB"/>
    <w:rsid w:val="00E526FB"/>
    <w:rsid w:val="00E54F56"/>
    <w:rsid w:val="00E63872"/>
    <w:rsid w:val="00E75393"/>
    <w:rsid w:val="00E76D8D"/>
    <w:rsid w:val="00E82EAB"/>
    <w:rsid w:val="00E94DA6"/>
    <w:rsid w:val="00E97103"/>
    <w:rsid w:val="00EA4F81"/>
    <w:rsid w:val="00EA792A"/>
    <w:rsid w:val="00EB00D4"/>
    <w:rsid w:val="00EB34D4"/>
    <w:rsid w:val="00EB5413"/>
    <w:rsid w:val="00ED20D0"/>
    <w:rsid w:val="00ED5BF7"/>
    <w:rsid w:val="00ED606A"/>
    <w:rsid w:val="00EE2E59"/>
    <w:rsid w:val="00EF0A9C"/>
    <w:rsid w:val="00EF4901"/>
    <w:rsid w:val="00EF7622"/>
    <w:rsid w:val="00F152E0"/>
    <w:rsid w:val="00F2213F"/>
    <w:rsid w:val="00F2381C"/>
    <w:rsid w:val="00F2591C"/>
    <w:rsid w:val="00F26EEF"/>
    <w:rsid w:val="00F323DD"/>
    <w:rsid w:val="00F37D61"/>
    <w:rsid w:val="00F61653"/>
    <w:rsid w:val="00F643D1"/>
    <w:rsid w:val="00F70B34"/>
    <w:rsid w:val="00F730EC"/>
    <w:rsid w:val="00F81A1D"/>
    <w:rsid w:val="00F81AFD"/>
    <w:rsid w:val="00F85BE9"/>
    <w:rsid w:val="00F92BE4"/>
    <w:rsid w:val="00F93B99"/>
    <w:rsid w:val="00F95119"/>
    <w:rsid w:val="00FA46CC"/>
    <w:rsid w:val="00FA47B2"/>
    <w:rsid w:val="00FA6011"/>
    <w:rsid w:val="00FA6477"/>
    <w:rsid w:val="00FA6BE5"/>
    <w:rsid w:val="00FA78A7"/>
    <w:rsid w:val="00FB7C23"/>
    <w:rsid w:val="00FC33C8"/>
    <w:rsid w:val="00FC3A19"/>
    <w:rsid w:val="00FC7A92"/>
    <w:rsid w:val="00FE0885"/>
    <w:rsid w:val="00FE7D5F"/>
    <w:rsid w:val="00FF1A36"/>
    <w:rsid w:val="00FF7722"/>
    <w:rsid w:val="05CF5FA2"/>
    <w:rsid w:val="10525806"/>
    <w:rsid w:val="16465E0D"/>
    <w:rsid w:val="19115B6D"/>
    <w:rsid w:val="1A324AD3"/>
    <w:rsid w:val="1E262080"/>
    <w:rsid w:val="21C21B46"/>
    <w:rsid w:val="22D42C37"/>
    <w:rsid w:val="263815B6"/>
    <w:rsid w:val="29E928DF"/>
    <w:rsid w:val="33890C8F"/>
    <w:rsid w:val="34D6420E"/>
    <w:rsid w:val="38591578"/>
    <w:rsid w:val="43014CE6"/>
    <w:rsid w:val="4BE07B8E"/>
    <w:rsid w:val="4D702565"/>
    <w:rsid w:val="4F2558B8"/>
    <w:rsid w:val="5C8B20AD"/>
    <w:rsid w:val="64AA541F"/>
    <w:rsid w:val="6B4A24D7"/>
    <w:rsid w:val="7A022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0"/>
    <w:unhideWhenUsed/>
    <w:qFormat/>
    <w:uiPriority w:val="0"/>
    <w:pPr>
      <w:jc w:val="left"/>
    </w:pPr>
  </w:style>
  <w:style w:type="paragraph" w:styleId="3">
    <w:name w:val="Balloon Text"/>
    <w:basedOn w:val="1"/>
    <w:link w:val="22"/>
    <w:semiHidden/>
    <w:unhideWhenUsed/>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21"/>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uiPriority w:val="99"/>
    <w:rPr>
      <w:color w:val="0563C1"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paragraph" w:customStyle="1" w:styleId="15">
    <w:name w:val="正文1"/>
    <w:basedOn w:val="1"/>
    <w:qFormat/>
    <w:uiPriority w:val="0"/>
    <w:rPr>
      <w:rFonts w:ascii="等线" w:hAnsi="等线" w:eastAsia="等线" w:cs="Times New Roman"/>
      <w:szCs w:val="21"/>
    </w:rPr>
  </w:style>
  <w:style w:type="table" w:customStyle="1" w:styleId="16">
    <w:name w:val="普通表格1"/>
    <w:basedOn w:val="8"/>
    <w:semiHidden/>
    <w:qFormat/>
    <w:uiPriority w:val="0"/>
    <w:rPr>
      <w:rFonts w:ascii="Times New Roman" w:hAnsi="Times New Roman" w:eastAsia="Times New Roman" w:cs="Times New Roman"/>
    </w:rPr>
  </w:style>
  <w:style w:type="paragraph" w:customStyle="1" w:styleId="17">
    <w:name w:val="正文3"/>
    <w:qFormat/>
    <w:uiPriority w:val="0"/>
    <w:pPr>
      <w:widowControl w:val="0"/>
      <w:jc w:val="both"/>
    </w:pPr>
    <w:rPr>
      <w:rFonts w:ascii="等线" w:hAnsi="等线" w:eastAsia="等线" w:cs="Times New Roman"/>
      <w:kern w:val="2"/>
      <w:sz w:val="21"/>
      <w:szCs w:val="21"/>
      <w:lang w:val="en-US" w:eastAsia="zh-CN" w:bidi="ar-SA"/>
    </w:rPr>
  </w:style>
  <w:style w:type="character" w:customStyle="1" w:styleId="18">
    <w:name w:val="未处理的提及1"/>
    <w:basedOn w:val="10"/>
    <w:semiHidden/>
    <w:unhideWhenUsed/>
    <w:qFormat/>
    <w:uiPriority w:val="99"/>
    <w:rPr>
      <w:color w:val="605E5C"/>
      <w:shd w:val="clear" w:color="auto" w:fill="E1DFDD"/>
    </w:rPr>
  </w:style>
  <w:style w:type="paragraph" w:styleId="19">
    <w:name w:val="List Paragraph"/>
    <w:basedOn w:val="1"/>
    <w:qFormat/>
    <w:uiPriority w:val="34"/>
    <w:pPr>
      <w:ind w:firstLine="420" w:firstLineChars="200"/>
    </w:pPr>
  </w:style>
  <w:style w:type="character" w:customStyle="1" w:styleId="20">
    <w:name w:val="批注文字 字符"/>
    <w:basedOn w:val="10"/>
    <w:link w:val="2"/>
    <w:qFormat/>
    <w:uiPriority w:val="0"/>
  </w:style>
  <w:style w:type="character" w:customStyle="1" w:styleId="21">
    <w:name w:val="批注主题 字符"/>
    <w:basedOn w:val="20"/>
    <w:link w:val="7"/>
    <w:semiHidden/>
    <w:qFormat/>
    <w:uiPriority w:val="99"/>
    <w:rPr>
      <w:b/>
      <w:bCs/>
    </w:rPr>
  </w:style>
  <w:style w:type="character" w:customStyle="1" w:styleId="22">
    <w:name w:val="批注框文本 字符"/>
    <w:basedOn w:val="10"/>
    <w:link w:val="3"/>
    <w:semiHidden/>
    <w:uiPriority w:val="99"/>
    <w:rPr>
      <w:kern w:val="2"/>
      <w:sz w:val="18"/>
      <w:szCs w:val="18"/>
    </w:rPr>
  </w:style>
  <w:style w:type="paragraph" w:customStyle="1" w:styleId="23">
    <w:name w:val="正文4"/>
    <w:basedOn w:val="1"/>
    <w:uiPriority w:val="0"/>
    <w:rPr>
      <w:rFonts w:ascii="等线" w:hAnsi="等线" w:eastAsia="等线" w:cs="Times New Roman"/>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54477-8661-4BA1-9664-07A2983929B7}">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18319</Words>
  <Characters>20095</Characters>
  <Lines>45</Lines>
  <Paragraphs>12</Paragraphs>
  <TotalTime>5</TotalTime>
  <ScaleCrop>false</ScaleCrop>
  <LinksUpToDate>false</LinksUpToDate>
  <CharactersWithSpaces>20396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2023-07-31T01:51:00Z</dcterms:created>
  <dc:creator>何 俊杰</dc:creator>
  <cp:lastModifiedBy>Whisper-张</cp:lastModifiedBy>
  <dcterms:modified xsi:type="dcterms:W3CDTF">2025-12-15T01:16:45Z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8CD78F510F6B4A10895649FE344560E2_13</vt:lpwstr>
  </property>
  <property fmtid="{D5CDD505-2E9C-101B-9397-08002B2CF9AE}" pid="4" name="KSOTemplateDocerSaveRecord">
    <vt:lpwstr>eyJoZGlkIjoiMzcyODMxYTE0ZTc0ZGU3Y2QwODc3MzYzN2Q1YmNiM2EiLCJ1c2VySWQiOiIzMjcyNTEyOTYifQ==</vt:lpwstr>
  </property>
</Properties>
</file>