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pPr w:leftFromText="180" w:rightFromText="180" w:vertAnchor="text" w:tblpX="-292" w:tblpY="1"/>
        <w:tblOverlap w:val="never"/>
        <w:tblW w:w="963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1"/>
        <w:gridCol w:w="1418"/>
        <w:gridCol w:w="1983"/>
        <w:gridCol w:w="1558"/>
        <w:gridCol w:w="3822"/>
        <w:gridCol w:w="9"/>
      </w:tblGrid>
      <w:tr w14:paraId="7D988F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gridAfter w:val="1"/>
          <w:wAfter w:w="9" w:type="dxa"/>
          <w:trHeight w:val="437" w:hRule="atLeast"/>
        </w:trPr>
        <w:tc>
          <w:tcPr>
            <w:tcW w:w="841" w:type="dxa"/>
            <w:vMerge w:val="restart"/>
            <w:vAlign w:val="center"/>
          </w:tcPr>
          <w:p w14:paraId="3468A20C">
            <w:pPr>
              <w:ind w:left="-254" w:leftChars="-121" w:firstLine="276" w:firstLineChars="115"/>
              <w:rPr>
                <w:rFonts w:ascii="仿宋" w:hAnsi="仿宋" w:eastAsia="仿宋" w:cs="仿宋"/>
                <w:sz w:val="24"/>
              </w:rPr>
            </w:pPr>
          </w:p>
        </w:tc>
        <w:tc>
          <w:tcPr>
            <w:tcW w:w="1418" w:type="dxa"/>
            <w:vAlign w:val="center"/>
          </w:tcPr>
          <w:p w14:paraId="230CE932">
            <w:pPr>
              <w:rPr>
                <w:rFonts w:ascii="仿宋" w:hAnsi="仿宋" w:eastAsia="仿宋" w:cs="仿宋"/>
                <w:sz w:val="24"/>
              </w:rPr>
            </w:pPr>
            <w:r>
              <w:rPr>
                <w:rFonts w:hint="eastAsia" w:ascii="仿宋" w:hAnsi="仿宋" w:eastAsia="仿宋" w:cs="仿宋"/>
                <w:sz w:val="24"/>
              </w:rPr>
              <w:t>电子资源名称（中文）</w:t>
            </w:r>
          </w:p>
        </w:tc>
        <w:tc>
          <w:tcPr>
            <w:tcW w:w="1983" w:type="dxa"/>
            <w:vAlign w:val="center"/>
          </w:tcPr>
          <w:p w14:paraId="225A378B">
            <w:pPr>
              <w:rPr>
                <w:rFonts w:ascii="仿宋" w:hAnsi="仿宋" w:eastAsia="仿宋" w:cs="仿宋"/>
                <w:sz w:val="24"/>
              </w:rPr>
            </w:pPr>
            <w:r>
              <w:rPr>
                <w:rFonts w:hint="eastAsia" w:ascii="仿宋" w:hAnsi="仿宋" w:eastAsia="仿宋" w:cs="仿宋"/>
                <w:sz w:val="24"/>
              </w:rPr>
              <w:t>PQDT学位论文全文数据库（2026）</w:t>
            </w:r>
          </w:p>
        </w:tc>
        <w:tc>
          <w:tcPr>
            <w:tcW w:w="1558" w:type="dxa"/>
            <w:vAlign w:val="center"/>
          </w:tcPr>
          <w:p w14:paraId="42F6CB63">
            <w:pPr>
              <w:rPr>
                <w:rFonts w:ascii="仿宋" w:hAnsi="仿宋" w:eastAsia="仿宋" w:cs="仿宋"/>
                <w:sz w:val="24"/>
              </w:rPr>
            </w:pPr>
            <w:r>
              <w:rPr>
                <w:rFonts w:hint="eastAsia" w:ascii="仿宋" w:hAnsi="仿宋" w:eastAsia="仿宋" w:cs="仿宋"/>
                <w:sz w:val="24"/>
              </w:rPr>
              <w:t>电子资源名称（英文）</w:t>
            </w:r>
          </w:p>
        </w:tc>
        <w:tc>
          <w:tcPr>
            <w:tcW w:w="3822" w:type="dxa"/>
            <w:vAlign w:val="center"/>
          </w:tcPr>
          <w:p w14:paraId="1048224C">
            <w:pPr>
              <w:rPr>
                <w:rFonts w:hint="eastAsia" w:ascii="仿宋" w:hAnsi="仿宋" w:eastAsia="仿宋" w:cs="仿宋"/>
                <w:sz w:val="24"/>
                <w:lang w:val="en-US" w:eastAsia="zh-CN"/>
              </w:rPr>
            </w:pPr>
            <w:r>
              <w:rPr>
                <w:rFonts w:hint="eastAsia" w:ascii="仿宋" w:hAnsi="仿宋" w:eastAsia="仿宋" w:cs="仿宋"/>
                <w:sz w:val="24"/>
                <w:lang w:val="en-US" w:eastAsia="zh-CN"/>
              </w:rPr>
              <w:t>/</w:t>
            </w:r>
          </w:p>
        </w:tc>
      </w:tr>
      <w:tr w14:paraId="01B870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37" w:hRule="atLeast"/>
        </w:trPr>
        <w:tc>
          <w:tcPr>
            <w:tcW w:w="841" w:type="dxa"/>
            <w:vMerge w:val="continue"/>
            <w:vAlign w:val="center"/>
          </w:tcPr>
          <w:p w14:paraId="0435D9D4">
            <w:pPr>
              <w:ind w:left="-254" w:leftChars="-121" w:firstLine="276" w:firstLineChars="115"/>
              <w:rPr>
                <w:rFonts w:ascii="仿宋" w:hAnsi="仿宋" w:eastAsia="仿宋" w:cs="仿宋"/>
                <w:sz w:val="24"/>
              </w:rPr>
            </w:pPr>
          </w:p>
        </w:tc>
        <w:tc>
          <w:tcPr>
            <w:tcW w:w="1418" w:type="dxa"/>
            <w:vAlign w:val="center"/>
          </w:tcPr>
          <w:p w14:paraId="28A63D70">
            <w:pPr>
              <w:rPr>
                <w:rFonts w:ascii="仿宋" w:hAnsi="仿宋" w:eastAsia="仿宋" w:cs="仿宋"/>
                <w:sz w:val="24"/>
              </w:rPr>
            </w:pPr>
            <w:r>
              <w:rPr>
                <w:rFonts w:hint="eastAsia" w:ascii="仿宋" w:hAnsi="仿宋" w:eastAsia="仿宋" w:cs="仿宋"/>
                <w:sz w:val="24"/>
              </w:rPr>
              <w:t>预算金额（最高限价）</w:t>
            </w:r>
          </w:p>
        </w:tc>
        <w:tc>
          <w:tcPr>
            <w:tcW w:w="1983" w:type="dxa"/>
            <w:vAlign w:val="center"/>
          </w:tcPr>
          <w:p w14:paraId="0F1030EA">
            <w:pPr>
              <w:rPr>
                <w:rFonts w:hint="default" w:ascii="仿宋" w:hAnsi="仿宋" w:eastAsia="仿宋" w:cs="仿宋"/>
                <w:sz w:val="24"/>
                <w:lang w:val="en-US" w:eastAsia="zh-CN"/>
              </w:rPr>
            </w:pPr>
            <w:r>
              <w:rPr>
                <w:rFonts w:hint="eastAsia" w:ascii="仿宋" w:hAnsi="仿宋" w:eastAsia="仿宋" w:cs="仿宋"/>
                <w:sz w:val="24"/>
                <w:lang w:val="en-US" w:eastAsia="zh-CN"/>
              </w:rPr>
              <w:t>18.45万</w:t>
            </w:r>
          </w:p>
        </w:tc>
        <w:tc>
          <w:tcPr>
            <w:tcW w:w="1558" w:type="dxa"/>
            <w:vAlign w:val="center"/>
          </w:tcPr>
          <w:p w14:paraId="6F4F5667">
            <w:pPr>
              <w:rPr>
                <w:rFonts w:ascii="仿宋" w:hAnsi="仿宋" w:eastAsia="仿宋" w:cs="仿宋"/>
                <w:sz w:val="24"/>
              </w:rPr>
            </w:pPr>
            <w:r>
              <w:rPr>
                <w:rFonts w:hint="eastAsia" w:ascii="仿宋" w:hAnsi="仿宋" w:eastAsia="仿宋" w:cs="仿宋"/>
                <w:sz w:val="24"/>
              </w:rPr>
              <w:t>申请单位</w:t>
            </w:r>
          </w:p>
        </w:tc>
        <w:tc>
          <w:tcPr>
            <w:tcW w:w="3822" w:type="dxa"/>
            <w:vAlign w:val="center"/>
          </w:tcPr>
          <w:p w14:paraId="319C713E">
            <w:pPr>
              <w:rPr>
                <w:rFonts w:ascii="仿宋" w:hAnsi="仿宋" w:eastAsia="仿宋" w:cs="仿宋"/>
                <w:sz w:val="24"/>
              </w:rPr>
            </w:pPr>
            <w:r>
              <w:rPr>
                <w:rFonts w:hint="eastAsia" w:ascii="仿宋" w:hAnsi="仿宋" w:eastAsia="仿宋" w:cs="仿宋"/>
                <w:sz w:val="24"/>
              </w:rPr>
              <w:t>图书馆</w:t>
            </w:r>
          </w:p>
        </w:tc>
      </w:tr>
      <w:tr w14:paraId="7E0EDA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44" w:hRule="atLeast"/>
        </w:trPr>
        <w:tc>
          <w:tcPr>
            <w:tcW w:w="841" w:type="dxa"/>
            <w:vMerge w:val="continue"/>
            <w:vAlign w:val="center"/>
          </w:tcPr>
          <w:p w14:paraId="519C9DED">
            <w:pPr>
              <w:rPr>
                <w:rFonts w:ascii="仿宋" w:hAnsi="仿宋" w:eastAsia="仿宋" w:cs="仿宋"/>
                <w:sz w:val="24"/>
              </w:rPr>
            </w:pPr>
          </w:p>
        </w:tc>
        <w:tc>
          <w:tcPr>
            <w:tcW w:w="1418" w:type="dxa"/>
            <w:tcBorders>
              <w:top w:val="single" w:color="auto" w:sz="4" w:space="0"/>
              <w:bottom w:val="single" w:color="auto" w:sz="4" w:space="0"/>
            </w:tcBorders>
            <w:vAlign w:val="center"/>
          </w:tcPr>
          <w:p w14:paraId="3DAE9EAF">
            <w:pPr>
              <w:rPr>
                <w:rFonts w:ascii="仿宋" w:hAnsi="仿宋" w:eastAsia="仿宋" w:cs="仿宋"/>
                <w:sz w:val="24"/>
              </w:rPr>
            </w:pPr>
            <w:r>
              <w:rPr>
                <w:rFonts w:hint="eastAsia" w:ascii="仿宋" w:hAnsi="仿宋" w:eastAsia="仿宋" w:cs="仿宋"/>
                <w:sz w:val="24"/>
              </w:rPr>
              <w:t>申请单一来源方式采购的理由</w:t>
            </w:r>
          </w:p>
        </w:tc>
        <w:tc>
          <w:tcPr>
            <w:tcW w:w="7363" w:type="dxa"/>
            <w:gridSpan w:val="3"/>
            <w:tcBorders>
              <w:top w:val="single" w:color="auto" w:sz="4" w:space="0"/>
              <w:bottom w:val="single" w:color="auto" w:sz="4" w:space="0"/>
            </w:tcBorders>
            <w:vAlign w:val="center"/>
          </w:tcPr>
          <w:p w14:paraId="5C6FD6C4">
            <w:pPr>
              <w:rPr>
                <w:rFonts w:ascii="仿宋" w:hAnsi="仿宋" w:eastAsia="仿宋" w:cs="仿宋"/>
                <w:sz w:val="24"/>
              </w:rPr>
            </w:pPr>
            <w:r>
              <w:rPr>
                <w:rFonts w:hint="eastAsia" w:ascii="仿宋" w:hAnsi="仿宋" w:eastAsia="仿宋" w:cs="仿宋"/>
                <w:sz w:val="24"/>
              </w:rPr>
              <w:t>■</w:t>
            </w:r>
            <w:r>
              <w:rPr>
                <w:rFonts w:ascii="仿宋" w:hAnsi="仿宋" w:eastAsia="仿宋" w:cs="仿宋"/>
                <w:sz w:val="24"/>
              </w:rPr>
              <w:t>其他具有复杂性、专门性、特殊性的项目，且只有唯一供应商的。</w:t>
            </w:r>
          </w:p>
        </w:tc>
      </w:tr>
      <w:tr w14:paraId="3524D4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44" w:hRule="atLeast"/>
        </w:trPr>
        <w:tc>
          <w:tcPr>
            <w:tcW w:w="841" w:type="dxa"/>
            <w:vMerge w:val="continue"/>
            <w:tcBorders>
              <w:bottom w:val="single" w:color="auto" w:sz="4" w:space="0"/>
            </w:tcBorders>
            <w:vAlign w:val="center"/>
          </w:tcPr>
          <w:p w14:paraId="6730CE51">
            <w:pPr>
              <w:rPr>
                <w:rFonts w:ascii="仿宋" w:hAnsi="仿宋" w:eastAsia="仿宋" w:cs="仿宋"/>
                <w:sz w:val="24"/>
              </w:rPr>
            </w:pPr>
          </w:p>
        </w:tc>
        <w:tc>
          <w:tcPr>
            <w:tcW w:w="1418" w:type="dxa"/>
            <w:tcBorders>
              <w:top w:val="single" w:color="auto" w:sz="4" w:space="0"/>
              <w:bottom w:val="single" w:color="auto" w:sz="4" w:space="0"/>
            </w:tcBorders>
            <w:vAlign w:val="center"/>
          </w:tcPr>
          <w:p w14:paraId="775356B0">
            <w:pPr>
              <w:rPr>
                <w:rFonts w:ascii="仿宋" w:hAnsi="仿宋" w:eastAsia="仿宋" w:cs="仿宋"/>
                <w:sz w:val="24"/>
              </w:rPr>
            </w:pPr>
            <w:r>
              <w:rPr>
                <w:rFonts w:hint="eastAsia" w:ascii="仿宋" w:hAnsi="仿宋" w:eastAsia="仿宋" w:cs="仿宋"/>
                <w:sz w:val="24"/>
              </w:rPr>
              <w:t>厂商基本情况</w:t>
            </w:r>
          </w:p>
        </w:tc>
        <w:tc>
          <w:tcPr>
            <w:tcW w:w="7363" w:type="dxa"/>
            <w:gridSpan w:val="3"/>
            <w:tcBorders>
              <w:top w:val="single" w:color="auto" w:sz="4" w:space="0"/>
              <w:bottom w:val="single" w:color="auto" w:sz="4" w:space="0"/>
            </w:tcBorders>
            <w:vAlign w:val="center"/>
          </w:tcPr>
          <w:p w14:paraId="57B81499">
            <w:pPr>
              <w:rPr>
                <w:rFonts w:ascii="仿宋" w:hAnsi="仿宋" w:eastAsia="仿宋" w:cs="仿宋"/>
                <w:sz w:val="24"/>
              </w:rPr>
            </w:pPr>
            <w:r>
              <w:rPr>
                <w:rFonts w:hint="eastAsia" w:ascii="仿宋" w:hAnsi="仿宋" w:eastAsia="仿宋" w:cs="仿宋"/>
                <w:sz w:val="24"/>
              </w:rPr>
              <w:t>厂商名称：</w:t>
            </w:r>
            <w:r>
              <w:rPr>
                <w:rFonts w:ascii="仿宋" w:hAnsi="仿宋" w:eastAsia="仿宋" w:cs="仿宋"/>
                <w:sz w:val="24"/>
              </w:rPr>
              <w:t>科睿唯安信息服务（北京）有限公司</w:t>
            </w:r>
          </w:p>
          <w:p w14:paraId="0D634A2B">
            <w:pPr>
              <w:rPr>
                <w:rFonts w:ascii="仿宋" w:hAnsi="仿宋" w:eastAsia="仿宋" w:cs="仿宋"/>
                <w:sz w:val="24"/>
              </w:rPr>
            </w:pPr>
            <w:r>
              <w:rPr>
                <w:rFonts w:hint="eastAsia" w:ascii="仿宋" w:hAnsi="仿宋" w:eastAsia="仿宋" w:cs="仿宋"/>
                <w:sz w:val="24"/>
              </w:rPr>
              <w:t>联系人：赵宇</w:t>
            </w:r>
          </w:p>
        </w:tc>
      </w:tr>
      <w:tr w14:paraId="6D0584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61" w:hRule="atLeast"/>
        </w:trPr>
        <w:tc>
          <w:tcPr>
            <w:tcW w:w="841" w:type="dxa"/>
            <w:vMerge w:val="continue"/>
            <w:tcBorders>
              <w:left w:val="single" w:color="auto" w:sz="2" w:space="0"/>
              <w:bottom w:val="single" w:color="auto" w:sz="4" w:space="0"/>
              <w:right w:val="single" w:color="auto" w:sz="2" w:space="0"/>
            </w:tcBorders>
            <w:textDirection w:val="tbRlV"/>
            <w:vAlign w:val="center"/>
          </w:tcPr>
          <w:p w14:paraId="61C51676">
            <w:pPr>
              <w:ind w:left="113" w:right="113"/>
              <w:jc w:val="center"/>
              <w:rPr>
                <w:rFonts w:ascii="仿宋" w:hAnsi="仿宋" w:eastAsia="仿宋" w:cs="仿宋"/>
                <w:sz w:val="24"/>
              </w:rPr>
            </w:pPr>
          </w:p>
        </w:tc>
        <w:tc>
          <w:tcPr>
            <w:tcW w:w="1418" w:type="dxa"/>
            <w:tcBorders>
              <w:top w:val="single" w:color="auto" w:sz="2" w:space="0"/>
              <w:left w:val="single" w:color="auto" w:sz="2" w:space="0"/>
              <w:bottom w:val="single" w:color="auto" w:sz="2" w:space="0"/>
              <w:right w:val="single" w:color="auto" w:sz="2" w:space="0"/>
            </w:tcBorders>
            <w:vAlign w:val="center"/>
          </w:tcPr>
          <w:p w14:paraId="2F031FE1">
            <w:pPr>
              <w:rPr>
                <w:rFonts w:ascii="仿宋" w:hAnsi="仿宋" w:eastAsia="仿宋" w:cs="仿宋"/>
                <w:sz w:val="24"/>
              </w:rPr>
            </w:pPr>
            <w:r>
              <w:rPr>
                <w:rFonts w:hint="eastAsia" w:ascii="仿宋" w:hAnsi="仿宋" w:eastAsia="仿宋" w:cs="仿宋"/>
                <w:sz w:val="24"/>
              </w:rPr>
              <w:t>服务说明</w:t>
            </w:r>
          </w:p>
        </w:tc>
        <w:tc>
          <w:tcPr>
            <w:tcW w:w="7363" w:type="dxa"/>
            <w:gridSpan w:val="3"/>
            <w:tcBorders>
              <w:top w:val="single" w:color="auto" w:sz="2" w:space="0"/>
              <w:left w:val="single" w:color="auto" w:sz="2" w:space="0"/>
              <w:bottom w:val="single" w:color="auto" w:sz="2" w:space="0"/>
              <w:right w:val="single" w:color="auto" w:sz="2" w:space="0"/>
            </w:tcBorders>
            <w:vAlign w:val="center"/>
          </w:tcPr>
          <w:p w14:paraId="5599727A">
            <w:pPr>
              <w:rPr>
                <w:rFonts w:ascii="仿宋" w:hAnsi="仿宋" w:eastAsia="仿宋" w:cs="仿宋"/>
                <w:sz w:val="24"/>
              </w:rPr>
            </w:pPr>
            <w:r>
              <w:rPr>
                <w:rFonts w:hint="eastAsia" w:ascii="仿宋" w:hAnsi="仿宋" w:eastAsia="仿宋" w:cs="仿宋"/>
                <w:sz w:val="24"/>
              </w:rPr>
              <w:t>北京中科公司将与集团成员逐一签署集团订购合同、办理订购费用收付、系统平台访问权限开通等工作。</w:t>
            </w:r>
            <w:r>
              <w:rPr>
                <w:rFonts w:hint="eastAsia" w:ascii="仿宋" w:hAnsi="仿宋" w:eastAsia="仿宋" w:cs="仿宋"/>
                <w:sz w:val="24"/>
              </w:rPr>
              <w:br w:type="textWrapping"/>
            </w:r>
            <w:r>
              <w:rPr>
                <w:rFonts w:hint="eastAsia" w:ascii="仿宋" w:hAnsi="仿宋" w:eastAsia="仿宋" w:cs="仿宋"/>
                <w:sz w:val="24"/>
              </w:rPr>
              <w:t>北京中科公司将负责组织和协助集团成员订购PQDT学位论文全文，并对集团成员开展提交培训、咨询和协助工作。</w:t>
            </w:r>
          </w:p>
          <w:p w14:paraId="7972AA60">
            <w:pPr>
              <w:rPr>
                <w:rFonts w:ascii="仿宋" w:hAnsi="仿宋" w:eastAsia="仿宋" w:cs="仿宋"/>
                <w:sz w:val="24"/>
              </w:rPr>
            </w:pPr>
          </w:p>
          <w:p w14:paraId="33D49BB2">
            <w:pPr>
              <w:rPr>
                <w:rFonts w:ascii="仿宋" w:hAnsi="仿宋" w:eastAsia="仿宋" w:cs="仿宋"/>
                <w:sz w:val="24"/>
              </w:rPr>
            </w:pPr>
          </w:p>
          <w:p w14:paraId="2F5DA587">
            <w:pPr>
              <w:rPr>
                <w:rFonts w:ascii="仿宋" w:hAnsi="仿宋" w:eastAsia="仿宋" w:cs="仿宋"/>
                <w:sz w:val="24"/>
              </w:rPr>
            </w:pPr>
          </w:p>
        </w:tc>
      </w:tr>
      <w:tr w14:paraId="03D042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84" w:hRule="atLeast"/>
        </w:trPr>
        <w:tc>
          <w:tcPr>
            <w:tcW w:w="841" w:type="dxa"/>
            <w:vMerge w:val="continue"/>
            <w:tcBorders>
              <w:left w:val="single" w:color="auto" w:sz="2" w:space="0"/>
              <w:bottom w:val="single" w:color="auto" w:sz="4" w:space="0"/>
              <w:right w:val="single" w:color="auto" w:sz="2" w:space="0"/>
            </w:tcBorders>
            <w:textDirection w:val="tbRlV"/>
            <w:vAlign w:val="center"/>
          </w:tcPr>
          <w:p w14:paraId="7C8EFA85">
            <w:pPr>
              <w:ind w:left="113" w:right="113"/>
              <w:jc w:val="center"/>
              <w:rPr>
                <w:rFonts w:ascii="仿宋" w:hAnsi="仿宋" w:eastAsia="仿宋" w:cs="仿宋"/>
                <w:sz w:val="24"/>
              </w:rPr>
            </w:pPr>
          </w:p>
        </w:tc>
        <w:tc>
          <w:tcPr>
            <w:tcW w:w="1418" w:type="dxa"/>
            <w:tcBorders>
              <w:top w:val="single" w:color="auto" w:sz="2" w:space="0"/>
              <w:left w:val="single" w:color="auto" w:sz="2" w:space="0"/>
              <w:bottom w:val="single" w:color="auto" w:sz="4" w:space="0"/>
              <w:right w:val="single" w:color="auto" w:sz="2" w:space="0"/>
            </w:tcBorders>
            <w:vAlign w:val="center"/>
          </w:tcPr>
          <w:p w14:paraId="50CA46D8">
            <w:pPr>
              <w:rPr>
                <w:rFonts w:ascii="仿宋" w:hAnsi="仿宋" w:eastAsia="仿宋" w:cs="仿宋"/>
                <w:sz w:val="24"/>
              </w:rPr>
            </w:pPr>
            <w:r>
              <w:rPr>
                <w:rFonts w:hint="eastAsia" w:ascii="仿宋" w:hAnsi="仿宋" w:eastAsia="仿宋" w:cs="仿宋"/>
                <w:sz w:val="24"/>
              </w:rPr>
              <w:t>内容简介</w:t>
            </w:r>
          </w:p>
        </w:tc>
        <w:tc>
          <w:tcPr>
            <w:tcW w:w="7363" w:type="dxa"/>
            <w:gridSpan w:val="3"/>
            <w:tcBorders>
              <w:top w:val="single" w:color="auto" w:sz="2" w:space="0"/>
              <w:left w:val="single" w:color="auto" w:sz="2" w:space="0"/>
              <w:bottom w:val="single" w:color="auto" w:sz="4" w:space="0"/>
              <w:right w:val="single" w:color="auto" w:sz="2" w:space="0"/>
            </w:tcBorders>
            <w:vAlign w:val="center"/>
          </w:tcPr>
          <w:p w14:paraId="6DD1F0CB">
            <w:pPr>
              <w:rPr>
                <w:rFonts w:ascii="仿宋" w:hAnsi="仿宋" w:eastAsia="仿宋" w:cs="仿宋"/>
                <w:sz w:val="24"/>
              </w:rPr>
            </w:pPr>
            <w:r>
              <w:rPr>
                <w:rFonts w:hint="eastAsia" w:ascii="仿宋" w:hAnsi="仿宋" w:eastAsia="仿宋" w:cs="仿宋"/>
                <w:sz w:val="24"/>
              </w:rPr>
              <w:t>PQDT 数据库是目前国内最完备、高质量、唯一的可以查询国外大学（北美地区为主）优秀博硕士论文全文的数据库，至2024年底，累积国外优秀博硕士论文全文超过一百万篇。该数据库覆盖了大部分北美地区高等院校以及世界其他地区数千个高等院校每年获得通过的博硕士论文。对于各类型的师生读者，无论在科研、有着广泛且无法被其他资源替代的需求。PQDT（ProQuest Dissertations &amp; Theses）是世界上规模最大、使用最广泛的学位论文数据库，其权威性和资源的独特性得到全球学术界的广泛认可。具体而言，PQDT数据库具有以下核心价值：</w:t>
            </w:r>
            <w:r>
              <w:rPr>
                <w:rFonts w:hint="eastAsia" w:ascii="仿宋" w:hAnsi="仿宋" w:eastAsia="仿宋" w:cs="仿宋"/>
                <w:sz w:val="24"/>
              </w:rPr>
              <w:br w:type="textWrapping"/>
            </w:r>
            <w:r>
              <w:rPr>
                <w:rFonts w:hint="eastAsia" w:ascii="仿宋" w:hAnsi="仿宋" w:eastAsia="仿宋" w:cs="仿宋"/>
                <w:sz w:val="24"/>
              </w:rPr>
              <w:t>资源规模与覆盖面：PQDT收录了欧美2,000余所大学文、理、工、农、医等领域的近600万篇博士、硕士论文的摘要及索引，每年约增加4.5万篇论文摘要。这一规模是其他同类资源难以比拟的，为研究人员提供了极其丰富的第一手研究资料。</w:t>
            </w:r>
            <w:r>
              <w:rPr>
                <w:rFonts w:hint="eastAsia" w:ascii="仿宋" w:hAnsi="仿宋" w:eastAsia="仿宋" w:cs="仿宋"/>
                <w:sz w:val="24"/>
              </w:rPr>
              <w:br w:type="textWrapping"/>
            </w:r>
            <w:r>
              <w:rPr>
                <w:rFonts w:hint="eastAsia" w:ascii="仿宋" w:hAnsi="仿宋" w:eastAsia="仿宋" w:cs="仿宋"/>
                <w:sz w:val="24"/>
              </w:rPr>
              <w:t>历史纵深与独家性：该数据库的收录起始于1861年，拥有长达一个半世纪的学术遗产，许多早期研究成果仅能通过PQDT获取，具有不可替代的学术史价值。数据库中收录的论文许多是独家资源，无法通过常规网络搜索或开放获取平台获取。</w:t>
            </w:r>
            <w:r>
              <w:rPr>
                <w:rFonts w:hint="eastAsia" w:ascii="仿宋" w:hAnsi="仿宋" w:eastAsia="仿宋" w:cs="仿宋"/>
                <w:sz w:val="24"/>
              </w:rPr>
              <w:br w:type="textWrapping"/>
            </w:r>
            <w:r>
              <w:rPr>
                <w:rFonts w:hint="eastAsia" w:ascii="仿宋" w:hAnsi="仿宋" w:eastAsia="仿宋" w:cs="仿宋"/>
                <w:sz w:val="24"/>
              </w:rPr>
              <w:t>内容质量与完整性：PQDT收录的论文来自全球顶尖高等教育机构，代表了各个学科领域的前沿研究和创新成果。博士论文摘要长达350字左右，硕士论文摘要为150字左右，为用户提供充分的评估信息。</w:t>
            </w:r>
          </w:p>
        </w:tc>
      </w:tr>
      <w:tr w14:paraId="3CC508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503" w:hRule="atLeast"/>
        </w:trPr>
        <w:tc>
          <w:tcPr>
            <w:tcW w:w="841" w:type="dxa"/>
            <w:vMerge w:val="continue"/>
            <w:vAlign w:val="center"/>
          </w:tcPr>
          <w:p w14:paraId="229FC1C0">
            <w:pPr>
              <w:rPr>
                <w:rFonts w:ascii="仿宋" w:hAnsi="仿宋" w:eastAsia="仿宋" w:cs="仿宋"/>
                <w:sz w:val="24"/>
              </w:rPr>
            </w:pPr>
          </w:p>
        </w:tc>
        <w:tc>
          <w:tcPr>
            <w:tcW w:w="1418" w:type="dxa"/>
            <w:vAlign w:val="center"/>
          </w:tcPr>
          <w:p w14:paraId="3878EE86">
            <w:pPr>
              <w:rPr>
                <w:rFonts w:ascii="仿宋" w:hAnsi="仿宋" w:eastAsia="仿宋" w:cs="仿宋"/>
                <w:sz w:val="24"/>
              </w:rPr>
            </w:pPr>
            <w:r>
              <w:rPr>
                <w:rFonts w:hint="eastAsia" w:ascii="仿宋" w:hAnsi="仿宋" w:eastAsia="仿宋" w:cs="仿宋"/>
                <w:sz w:val="24"/>
              </w:rPr>
              <w:t>检索系统</w:t>
            </w:r>
          </w:p>
        </w:tc>
        <w:tc>
          <w:tcPr>
            <w:tcW w:w="7363" w:type="dxa"/>
            <w:gridSpan w:val="3"/>
            <w:vAlign w:val="center"/>
          </w:tcPr>
          <w:p w14:paraId="1C03F117">
            <w:pPr>
              <w:rPr>
                <w:rFonts w:ascii="仿宋" w:hAnsi="仿宋" w:eastAsia="仿宋" w:cs="仿宋"/>
                <w:sz w:val="24"/>
              </w:rPr>
            </w:pPr>
            <w:r>
              <w:rPr>
                <w:rFonts w:hint="eastAsia" w:ascii="仿宋" w:hAnsi="仿宋" w:eastAsia="仿宋" w:cs="仿宋"/>
                <w:sz w:val="24"/>
              </w:rPr>
              <w:t>不适用</w:t>
            </w:r>
          </w:p>
        </w:tc>
      </w:tr>
      <w:tr w14:paraId="451D40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25" w:hRule="atLeast"/>
        </w:trPr>
        <w:tc>
          <w:tcPr>
            <w:tcW w:w="841" w:type="dxa"/>
            <w:vMerge w:val="restart"/>
            <w:tcBorders>
              <w:top w:val="single" w:color="auto" w:sz="4" w:space="0"/>
            </w:tcBorders>
          </w:tcPr>
          <w:p w14:paraId="54CE0456">
            <w:pPr>
              <w:rPr>
                <w:rFonts w:ascii="仿宋" w:hAnsi="仿宋" w:eastAsia="仿宋" w:cs="仿宋"/>
                <w:b/>
                <w:sz w:val="24"/>
              </w:rPr>
            </w:pPr>
          </w:p>
          <w:p w14:paraId="07733D4C">
            <w:pPr>
              <w:rPr>
                <w:rFonts w:ascii="仿宋" w:hAnsi="仿宋" w:eastAsia="仿宋" w:cs="仿宋"/>
                <w:b/>
                <w:sz w:val="24"/>
              </w:rPr>
            </w:pPr>
          </w:p>
          <w:p w14:paraId="07EB14EF">
            <w:pPr>
              <w:rPr>
                <w:rFonts w:ascii="仿宋" w:hAnsi="仿宋" w:eastAsia="仿宋" w:cs="仿宋"/>
                <w:b/>
                <w:sz w:val="24"/>
              </w:rPr>
            </w:pPr>
          </w:p>
          <w:p w14:paraId="2027172B">
            <w:pPr>
              <w:rPr>
                <w:rFonts w:ascii="仿宋" w:hAnsi="仿宋" w:eastAsia="仿宋" w:cs="仿宋"/>
                <w:b/>
                <w:sz w:val="24"/>
              </w:rPr>
            </w:pPr>
          </w:p>
          <w:p w14:paraId="74F1CCEA">
            <w:pPr>
              <w:rPr>
                <w:rFonts w:ascii="仿宋" w:hAnsi="仿宋" w:eastAsia="仿宋" w:cs="仿宋"/>
                <w:b/>
                <w:sz w:val="24"/>
              </w:rPr>
            </w:pPr>
          </w:p>
          <w:p w14:paraId="00A100E3">
            <w:pPr>
              <w:jc w:val="center"/>
              <w:rPr>
                <w:rFonts w:ascii="仿宋" w:hAnsi="仿宋" w:eastAsia="仿宋" w:cs="仿宋"/>
                <w:b/>
                <w:sz w:val="24"/>
              </w:rPr>
            </w:pPr>
            <w:r>
              <w:rPr>
                <w:rFonts w:hint="eastAsia" w:ascii="仿宋" w:hAnsi="仿宋" w:eastAsia="仿宋" w:cs="仿宋"/>
                <w:b/>
                <w:sz w:val="24"/>
              </w:rPr>
              <w:t>价 值 与 成 本 核 算</w:t>
            </w:r>
          </w:p>
          <w:p w14:paraId="2CF7D0EA">
            <w:pPr>
              <w:ind w:left="113" w:right="113"/>
              <w:jc w:val="center"/>
              <w:rPr>
                <w:rFonts w:ascii="仿宋" w:hAnsi="仿宋" w:eastAsia="仿宋" w:cs="仿宋"/>
                <w:sz w:val="24"/>
              </w:rPr>
            </w:pPr>
          </w:p>
          <w:p w14:paraId="7F3F6CA0">
            <w:pPr>
              <w:ind w:left="113" w:right="113"/>
              <w:jc w:val="center"/>
              <w:rPr>
                <w:rFonts w:ascii="仿宋" w:hAnsi="仿宋" w:eastAsia="仿宋" w:cs="仿宋"/>
                <w:sz w:val="24"/>
              </w:rPr>
            </w:pPr>
          </w:p>
          <w:p w14:paraId="667AA863">
            <w:pPr>
              <w:ind w:left="113" w:right="113"/>
              <w:jc w:val="center"/>
              <w:rPr>
                <w:rFonts w:ascii="仿宋" w:hAnsi="仿宋" w:eastAsia="仿宋" w:cs="仿宋"/>
                <w:sz w:val="24"/>
              </w:rPr>
            </w:pPr>
          </w:p>
          <w:p w14:paraId="2A8B54C2">
            <w:pPr>
              <w:ind w:left="113" w:right="113"/>
              <w:jc w:val="center"/>
              <w:rPr>
                <w:rFonts w:ascii="仿宋" w:hAnsi="仿宋" w:eastAsia="仿宋" w:cs="仿宋"/>
                <w:sz w:val="24"/>
              </w:rPr>
            </w:pPr>
          </w:p>
          <w:p w14:paraId="55D2D1E6">
            <w:pPr>
              <w:ind w:left="113" w:right="113"/>
              <w:jc w:val="center"/>
              <w:rPr>
                <w:rFonts w:ascii="仿宋" w:hAnsi="仿宋" w:eastAsia="仿宋" w:cs="仿宋"/>
                <w:b/>
                <w:sz w:val="24"/>
              </w:rPr>
            </w:pPr>
          </w:p>
        </w:tc>
        <w:tc>
          <w:tcPr>
            <w:tcW w:w="1418" w:type="dxa"/>
            <w:tcBorders>
              <w:top w:val="single" w:color="auto" w:sz="4" w:space="0"/>
            </w:tcBorders>
            <w:vAlign w:val="center"/>
          </w:tcPr>
          <w:p w14:paraId="266F375B">
            <w:pPr>
              <w:rPr>
                <w:rFonts w:ascii="仿宋" w:hAnsi="仿宋" w:eastAsia="仿宋" w:cs="仿宋"/>
                <w:sz w:val="24"/>
              </w:rPr>
            </w:pPr>
            <w:r>
              <w:rPr>
                <w:rFonts w:hint="eastAsia" w:ascii="仿宋" w:hAnsi="仿宋" w:eastAsia="仿宋" w:cs="仿宋"/>
                <w:sz w:val="24"/>
              </w:rPr>
              <w:t>电子资源价格及使用期限</w:t>
            </w:r>
          </w:p>
        </w:tc>
        <w:tc>
          <w:tcPr>
            <w:tcW w:w="7363" w:type="dxa"/>
            <w:gridSpan w:val="3"/>
            <w:tcBorders>
              <w:top w:val="single" w:color="auto" w:sz="4" w:space="0"/>
            </w:tcBorders>
            <w:vAlign w:val="center"/>
          </w:tcPr>
          <w:p w14:paraId="16564285">
            <w:pPr>
              <w:rPr>
                <w:rFonts w:ascii="仿宋" w:hAnsi="仿宋" w:eastAsia="仿宋" w:cs="仿宋"/>
                <w:sz w:val="24"/>
              </w:rPr>
            </w:pPr>
            <w:r>
              <w:rPr>
                <w:rFonts w:hint="eastAsia" w:ascii="仿宋" w:hAnsi="仿宋" w:eastAsia="仿宋" w:cs="仿宋"/>
                <w:sz w:val="24"/>
              </w:rPr>
              <w:t>24190美元，约184500元人民币，人民币报价依据预估汇率7.5及代理商服务费1.3%（因汇率波动具有不可预测性，预估汇率高于近期实际汇率）。一次性买断，永久使用权</w:t>
            </w:r>
          </w:p>
        </w:tc>
      </w:tr>
      <w:tr w14:paraId="741B0C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36" w:hRule="atLeast"/>
        </w:trPr>
        <w:tc>
          <w:tcPr>
            <w:tcW w:w="841" w:type="dxa"/>
            <w:vMerge w:val="continue"/>
            <w:textDirection w:val="tbRlV"/>
            <w:vAlign w:val="center"/>
          </w:tcPr>
          <w:p w14:paraId="5D66AFDB">
            <w:pPr>
              <w:ind w:left="113" w:right="113"/>
              <w:jc w:val="center"/>
              <w:rPr>
                <w:rFonts w:ascii="仿宋" w:hAnsi="仿宋" w:eastAsia="仿宋" w:cs="仿宋"/>
                <w:sz w:val="24"/>
              </w:rPr>
            </w:pPr>
          </w:p>
        </w:tc>
        <w:tc>
          <w:tcPr>
            <w:tcW w:w="1418" w:type="dxa"/>
            <w:tcBorders>
              <w:bottom w:val="single" w:color="auto" w:sz="6" w:space="0"/>
            </w:tcBorders>
            <w:vAlign w:val="center"/>
          </w:tcPr>
          <w:p w14:paraId="0FAA17CC">
            <w:pPr>
              <w:rPr>
                <w:rFonts w:ascii="仿宋" w:hAnsi="仿宋" w:eastAsia="仿宋" w:cs="仿宋"/>
                <w:sz w:val="24"/>
              </w:rPr>
            </w:pPr>
            <w:r>
              <w:rPr>
                <w:rFonts w:hint="eastAsia" w:ascii="仿宋" w:hAnsi="仿宋" w:eastAsia="仿宋" w:cs="仿宋"/>
                <w:sz w:val="24"/>
              </w:rPr>
              <w:t>电子文献平均价格</w:t>
            </w:r>
          </w:p>
        </w:tc>
        <w:tc>
          <w:tcPr>
            <w:tcW w:w="7363" w:type="dxa"/>
            <w:gridSpan w:val="3"/>
            <w:tcBorders>
              <w:bottom w:val="single" w:color="auto" w:sz="6" w:space="0"/>
            </w:tcBorders>
            <w:vAlign w:val="center"/>
          </w:tcPr>
          <w:p w14:paraId="1CBEB957">
            <w:pPr>
              <w:rPr>
                <w:rFonts w:ascii="仿宋" w:hAnsi="仿宋" w:eastAsia="仿宋" w:cs="仿宋"/>
                <w:sz w:val="24"/>
              </w:rPr>
            </w:pPr>
            <w:r>
              <w:rPr>
                <w:rFonts w:hint="eastAsia" w:ascii="仿宋" w:hAnsi="仿宋" w:eastAsia="仿宋" w:cs="仿宋"/>
                <w:sz w:val="24"/>
              </w:rPr>
              <w:t>本校选文为美元$118/篇（全部订购费用）。 以中国集团全部选文计算，实际约为美元$0.45-0.5/篇（获得永久访问权内容）</w:t>
            </w:r>
          </w:p>
        </w:tc>
      </w:tr>
      <w:tr w14:paraId="6BA37E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94" w:hRule="atLeast"/>
        </w:trPr>
        <w:tc>
          <w:tcPr>
            <w:tcW w:w="841" w:type="dxa"/>
            <w:vMerge w:val="continue"/>
            <w:textDirection w:val="tbRlV"/>
            <w:vAlign w:val="center"/>
          </w:tcPr>
          <w:p w14:paraId="53F1B585">
            <w:pPr>
              <w:ind w:left="113" w:right="113"/>
              <w:jc w:val="center"/>
              <w:rPr>
                <w:rFonts w:ascii="仿宋" w:hAnsi="仿宋" w:eastAsia="仿宋" w:cs="仿宋"/>
                <w:sz w:val="24"/>
              </w:rPr>
            </w:pPr>
          </w:p>
        </w:tc>
        <w:tc>
          <w:tcPr>
            <w:tcW w:w="1418" w:type="dxa"/>
            <w:tcBorders>
              <w:bottom w:val="single" w:color="auto" w:sz="6" w:space="0"/>
            </w:tcBorders>
            <w:vAlign w:val="center"/>
          </w:tcPr>
          <w:p w14:paraId="2F48D53F">
            <w:pPr>
              <w:rPr>
                <w:rFonts w:ascii="仿宋" w:hAnsi="仿宋" w:eastAsia="仿宋" w:cs="仿宋"/>
                <w:sz w:val="24"/>
              </w:rPr>
            </w:pPr>
            <w:r>
              <w:rPr>
                <w:rFonts w:hint="eastAsia" w:ascii="仿宋" w:hAnsi="仿宋" w:eastAsia="仿宋" w:cs="仿宋"/>
                <w:sz w:val="24"/>
              </w:rPr>
              <w:t>与纸质文献性价比较</w:t>
            </w:r>
          </w:p>
        </w:tc>
        <w:tc>
          <w:tcPr>
            <w:tcW w:w="7363" w:type="dxa"/>
            <w:gridSpan w:val="3"/>
            <w:tcBorders>
              <w:bottom w:val="single" w:color="auto" w:sz="6" w:space="0"/>
            </w:tcBorders>
            <w:vAlign w:val="center"/>
          </w:tcPr>
          <w:p w14:paraId="351C9EE1">
            <w:pPr>
              <w:rPr>
                <w:rFonts w:ascii="仿宋" w:hAnsi="仿宋" w:eastAsia="仿宋" w:cs="仿宋"/>
                <w:sz w:val="24"/>
              </w:rPr>
            </w:pPr>
            <w:r>
              <w:rPr>
                <w:rFonts w:hint="eastAsia" w:ascii="仿宋" w:hAnsi="仿宋" w:eastAsia="仿宋" w:cs="仿宋"/>
                <w:sz w:val="24"/>
              </w:rPr>
              <w:t>无学位论文纸质文献资源</w:t>
            </w:r>
          </w:p>
        </w:tc>
      </w:tr>
      <w:tr w14:paraId="392219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52" w:hRule="atLeast"/>
        </w:trPr>
        <w:tc>
          <w:tcPr>
            <w:tcW w:w="9631" w:type="dxa"/>
            <w:gridSpan w:val="6"/>
            <w:tcBorders>
              <w:top w:val="single" w:color="auto" w:sz="4" w:space="0"/>
              <w:bottom w:val="single" w:color="auto" w:sz="4" w:space="0"/>
            </w:tcBorders>
            <w:vAlign w:val="center"/>
          </w:tcPr>
          <w:p w14:paraId="56AA51E0">
            <w:pPr>
              <w:jc w:val="left"/>
              <w:rPr>
                <w:rFonts w:ascii="仿宋" w:hAnsi="仿宋" w:eastAsia="仿宋" w:cs="仿宋"/>
                <w:b/>
                <w:sz w:val="24"/>
              </w:rPr>
            </w:pPr>
            <w:r>
              <w:rPr>
                <w:rFonts w:hint="eastAsia" w:ascii="仿宋" w:hAnsi="仿宋" w:eastAsia="仿宋" w:cs="仿宋"/>
                <w:b/>
                <w:sz w:val="24"/>
              </w:rPr>
              <w:t>购置理由（必要性和合理性）：</w:t>
            </w:r>
          </w:p>
          <w:p w14:paraId="7A6FB5A6">
            <w:pPr>
              <w:rPr>
                <w:rFonts w:ascii="仿宋" w:hAnsi="仿宋" w:eastAsia="仿宋" w:cs="仿宋"/>
                <w:sz w:val="24"/>
              </w:rPr>
            </w:pPr>
            <w:r>
              <w:rPr>
                <w:rFonts w:hint="eastAsia" w:ascii="仿宋" w:hAnsi="仿宋" w:eastAsia="仿宋" w:cs="仿宋"/>
                <w:sz w:val="24"/>
              </w:rPr>
              <w:t>1. PQDT 学位论文全文是目前国内最完备、高质量、唯一的可以查询国外大学（北美地区为主）优秀博硕士论文全文的数据库，至2024年底，累积国外优秀博硕士论文全文超过一百万篇。该数据库覆盖了大部分北美地区高等院校以及世界其他地区数千个高等院校每年获得通过的博硕士论文。对于各类型的师生读者，无论在科研、有着广泛且无法被其他资源替代的需求。PQDT（ProQuest Dissertations &amp; Theses）是世界上规模最大、使用最广泛的学位论文数据库，其权威性和资源的独特性得到全球学术界的广泛认可。</w:t>
            </w:r>
            <w:r>
              <w:rPr>
                <w:rFonts w:hint="eastAsia" w:ascii="仿宋" w:hAnsi="仿宋" w:eastAsia="仿宋" w:cs="仿宋"/>
                <w:sz w:val="24"/>
              </w:rPr>
              <w:br w:type="textWrapping"/>
            </w:r>
            <w:r>
              <w:rPr>
                <w:rFonts w:hint="eastAsia" w:ascii="仿宋" w:hAnsi="仿宋" w:eastAsia="仿宋" w:cs="仿宋"/>
                <w:sz w:val="24"/>
              </w:rPr>
              <w:t>2. 目前国内高校，一般是通过全国的高校图书馆数字资源采购联盟(DRAA)的联采方案进行采购，享受统一的优惠折扣价。每个成员在DRAA合同期内每年订购论文200篇。后续加入的成员馆，可以补足订购额，获得相应年度的访问内容。集团成员如执行完一期集团合同，无论是否继续参加下一期集团采购，将继续拥有“PQDT学位论文全文数据库”中已参加年度集团所有论文的网络数据库使用权。因此，通过采购2026年度200篇学位论文，我校师生可获得全国高校通过该方案采购的学位论文的使用权。</w:t>
            </w:r>
            <w:r>
              <w:rPr>
                <w:rFonts w:hint="eastAsia" w:ascii="仿宋" w:hAnsi="仿宋" w:eastAsia="仿宋" w:cs="仿宋"/>
                <w:sz w:val="24"/>
              </w:rPr>
              <w:br w:type="textWrapping"/>
            </w:r>
            <w:r>
              <w:rPr>
                <w:rFonts w:hint="eastAsia" w:ascii="仿宋" w:hAnsi="仿宋" w:eastAsia="仿宋" w:cs="仿宋"/>
                <w:sz w:val="24"/>
              </w:rPr>
              <w:t>3. 我校已连续多年采购下一年度的该学位论文数据库，本次采购对于我校博硕士论文资源的连续性及时效性具有重大意义。采购PQDT学位论文全文数据库，是一项重要的、正当的学术资源建设投资，其核心意义在于为学校的教学和科研提供国际化的、高价值的参考资料。是一所追求国际化、高水平和严谨治学的现代大学的标配行为。它本质上是在为学生和研究人员购买“知识”和“方法”，它通过提供全球顶尖大学的“研究模板”和“思想源泉”，从根本上服务于提升本校自主科研能力和人才培养质量的核心目标。</w:t>
            </w:r>
            <w:r>
              <w:rPr>
                <w:rFonts w:hint="eastAsia" w:ascii="仿宋" w:hAnsi="仿宋" w:eastAsia="仿宋" w:cs="仿宋"/>
                <w:sz w:val="24"/>
              </w:rPr>
              <w:br w:type="textWrapping"/>
            </w:r>
            <w:r>
              <w:rPr>
                <w:rFonts w:hint="eastAsia" w:ascii="仿宋" w:hAnsi="仿宋" w:eastAsia="仿宋" w:cs="仿宋"/>
                <w:sz w:val="24"/>
              </w:rPr>
              <w:t>按照大学采购流程，该数据库采购计划已提交图书馆委员会报备，并通过委员会审核，相关邮件见附件 。</w:t>
            </w:r>
          </w:p>
          <w:p w14:paraId="33312756">
            <w:pPr>
              <w:jc w:val="left"/>
              <w:rPr>
                <w:rFonts w:ascii="仿宋" w:hAnsi="仿宋" w:eastAsia="仿宋" w:cs="仿宋"/>
                <w:b/>
                <w:sz w:val="24"/>
              </w:rPr>
            </w:pPr>
          </w:p>
          <w:p w14:paraId="70D50FDD">
            <w:pPr>
              <w:jc w:val="left"/>
              <w:rPr>
                <w:rFonts w:ascii="仿宋" w:hAnsi="仿宋" w:eastAsia="仿宋" w:cs="仿宋"/>
                <w:b/>
                <w:sz w:val="24"/>
              </w:rPr>
            </w:pPr>
            <w:bookmarkStart w:id="0" w:name="_GoBack"/>
            <w:bookmarkEnd w:id="0"/>
          </w:p>
          <w:p w14:paraId="752D9B3F">
            <w:pPr>
              <w:jc w:val="left"/>
              <w:rPr>
                <w:rFonts w:ascii="仿宋" w:hAnsi="仿宋" w:eastAsia="仿宋" w:cs="仿宋"/>
                <w:b/>
                <w:sz w:val="24"/>
              </w:rPr>
            </w:pPr>
          </w:p>
          <w:p w14:paraId="67D61542">
            <w:pPr>
              <w:jc w:val="left"/>
              <w:rPr>
                <w:rFonts w:ascii="仿宋" w:hAnsi="仿宋" w:eastAsia="仿宋" w:cs="仿宋"/>
                <w:b/>
                <w:sz w:val="24"/>
              </w:rPr>
            </w:pPr>
          </w:p>
          <w:p w14:paraId="15B64695">
            <w:pPr>
              <w:rPr>
                <w:rFonts w:ascii="仿宋" w:hAnsi="仿宋" w:eastAsia="仿宋" w:cs="仿宋"/>
                <w:sz w:val="24"/>
              </w:rPr>
            </w:pPr>
          </w:p>
        </w:tc>
      </w:tr>
    </w:tbl>
    <w:p w14:paraId="75872A97">
      <w:pPr>
        <w:rPr>
          <w:rFonts w:ascii="仿宋" w:hAnsi="仿宋" w:eastAsia="仿宋"/>
          <w:sz w:val="24"/>
        </w:rPr>
      </w:pPr>
    </w:p>
    <w:sectPr>
      <w:footerReference r:id="rId3" w:type="default"/>
      <w:pgSz w:w="11906" w:h="16838"/>
      <w:pgMar w:top="1440" w:right="1800" w:bottom="1985"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0767807"/>
    </w:sdtPr>
    <w:sdtContent>
      <w:p w14:paraId="70E95D8C">
        <w:pPr>
          <w:pStyle w:val="5"/>
          <w:jc w:val="right"/>
        </w:pPr>
        <w:r>
          <w:fldChar w:fldCharType="begin"/>
        </w:r>
        <w:r>
          <w:instrText xml:space="preserve">PAGE   \* MERGEFORMAT</w:instrText>
        </w:r>
        <w:r>
          <w:fldChar w:fldCharType="separate"/>
        </w:r>
        <w:r>
          <w:rPr>
            <w:lang w:val="zh-CN"/>
          </w:rPr>
          <w:t>5</w:t>
        </w:r>
        <w:r>
          <w:fldChar w:fldCharType="end"/>
        </w:r>
      </w:p>
    </w:sdtContent>
  </w:sdt>
  <w:p w14:paraId="52267117">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iY2JkMjU3NGYzZTEwMzZmMGFkZWViYmNkYWU3NDIifQ=="/>
  </w:docVars>
  <w:rsids>
    <w:rsidRoot w:val="00DE633E"/>
    <w:rsid w:val="00000D47"/>
    <w:rsid w:val="00005A6F"/>
    <w:rsid w:val="00027A76"/>
    <w:rsid w:val="000320CF"/>
    <w:rsid w:val="000350E1"/>
    <w:rsid w:val="00040429"/>
    <w:rsid w:val="000408B4"/>
    <w:rsid w:val="00045564"/>
    <w:rsid w:val="0005391F"/>
    <w:rsid w:val="0005669F"/>
    <w:rsid w:val="000676A9"/>
    <w:rsid w:val="00071967"/>
    <w:rsid w:val="00072051"/>
    <w:rsid w:val="0008787F"/>
    <w:rsid w:val="00087B10"/>
    <w:rsid w:val="0009713E"/>
    <w:rsid w:val="000972B4"/>
    <w:rsid w:val="000A5ED3"/>
    <w:rsid w:val="000B2AF3"/>
    <w:rsid w:val="000C3653"/>
    <w:rsid w:val="000C4BDF"/>
    <w:rsid w:val="000C7634"/>
    <w:rsid w:val="000D4066"/>
    <w:rsid w:val="000F27B0"/>
    <w:rsid w:val="0010111C"/>
    <w:rsid w:val="00115461"/>
    <w:rsid w:val="001155FD"/>
    <w:rsid w:val="00125F66"/>
    <w:rsid w:val="0012792F"/>
    <w:rsid w:val="00131297"/>
    <w:rsid w:val="00131B30"/>
    <w:rsid w:val="00132168"/>
    <w:rsid w:val="00140C14"/>
    <w:rsid w:val="00141525"/>
    <w:rsid w:val="00154474"/>
    <w:rsid w:val="0017621A"/>
    <w:rsid w:val="001860B9"/>
    <w:rsid w:val="00190D40"/>
    <w:rsid w:val="001A4F06"/>
    <w:rsid w:val="001A7A03"/>
    <w:rsid w:val="001B3EFF"/>
    <w:rsid w:val="001B7869"/>
    <w:rsid w:val="001C26F4"/>
    <w:rsid w:val="001C7074"/>
    <w:rsid w:val="001D45F5"/>
    <w:rsid w:val="001E7672"/>
    <w:rsid w:val="001F4B2B"/>
    <w:rsid w:val="001F52D6"/>
    <w:rsid w:val="001F5EF2"/>
    <w:rsid w:val="00206A69"/>
    <w:rsid w:val="00217F48"/>
    <w:rsid w:val="00233031"/>
    <w:rsid w:val="00233DDA"/>
    <w:rsid w:val="00240C4C"/>
    <w:rsid w:val="00252D3E"/>
    <w:rsid w:val="002601D2"/>
    <w:rsid w:val="00264CA9"/>
    <w:rsid w:val="0029268F"/>
    <w:rsid w:val="00296546"/>
    <w:rsid w:val="002B0C02"/>
    <w:rsid w:val="002C7102"/>
    <w:rsid w:val="002D2C8C"/>
    <w:rsid w:val="002D33BC"/>
    <w:rsid w:val="002E2CB0"/>
    <w:rsid w:val="002F57A5"/>
    <w:rsid w:val="002F7272"/>
    <w:rsid w:val="0030042C"/>
    <w:rsid w:val="003011E9"/>
    <w:rsid w:val="003042C9"/>
    <w:rsid w:val="003128C3"/>
    <w:rsid w:val="00314CB0"/>
    <w:rsid w:val="0032071E"/>
    <w:rsid w:val="0032788A"/>
    <w:rsid w:val="003367B4"/>
    <w:rsid w:val="00353FA2"/>
    <w:rsid w:val="00355719"/>
    <w:rsid w:val="00356A78"/>
    <w:rsid w:val="0036519A"/>
    <w:rsid w:val="00380960"/>
    <w:rsid w:val="00380EB3"/>
    <w:rsid w:val="00383C38"/>
    <w:rsid w:val="00384277"/>
    <w:rsid w:val="00387DC3"/>
    <w:rsid w:val="003A399C"/>
    <w:rsid w:val="003A67F3"/>
    <w:rsid w:val="003B02D9"/>
    <w:rsid w:val="003B311E"/>
    <w:rsid w:val="003E2578"/>
    <w:rsid w:val="003E4701"/>
    <w:rsid w:val="003E4AD2"/>
    <w:rsid w:val="003E6637"/>
    <w:rsid w:val="003E72DC"/>
    <w:rsid w:val="003F0A25"/>
    <w:rsid w:val="003F54CB"/>
    <w:rsid w:val="00401FC4"/>
    <w:rsid w:val="00415078"/>
    <w:rsid w:val="00416CFB"/>
    <w:rsid w:val="00436A00"/>
    <w:rsid w:val="004376BE"/>
    <w:rsid w:val="00453A5A"/>
    <w:rsid w:val="00470466"/>
    <w:rsid w:val="004708DC"/>
    <w:rsid w:val="0047770A"/>
    <w:rsid w:val="004A014C"/>
    <w:rsid w:val="004A07D3"/>
    <w:rsid w:val="004A362A"/>
    <w:rsid w:val="004A5BA4"/>
    <w:rsid w:val="004B3895"/>
    <w:rsid w:val="004F33E1"/>
    <w:rsid w:val="004F644E"/>
    <w:rsid w:val="0050266D"/>
    <w:rsid w:val="00507C45"/>
    <w:rsid w:val="00514958"/>
    <w:rsid w:val="00531834"/>
    <w:rsid w:val="00532C57"/>
    <w:rsid w:val="005358D2"/>
    <w:rsid w:val="005455E3"/>
    <w:rsid w:val="00546FC0"/>
    <w:rsid w:val="005643A4"/>
    <w:rsid w:val="00564771"/>
    <w:rsid w:val="00564B8D"/>
    <w:rsid w:val="005670AA"/>
    <w:rsid w:val="00571A5C"/>
    <w:rsid w:val="00573A6D"/>
    <w:rsid w:val="00585339"/>
    <w:rsid w:val="005857D3"/>
    <w:rsid w:val="0059686C"/>
    <w:rsid w:val="005C7810"/>
    <w:rsid w:val="005D233C"/>
    <w:rsid w:val="005F1668"/>
    <w:rsid w:val="00603747"/>
    <w:rsid w:val="00604D21"/>
    <w:rsid w:val="00606F7D"/>
    <w:rsid w:val="006076FA"/>
    <w:rsid w:val="006164F0"/>
    <w:rsid w:val="00617100"/>
    <w:rsid w:val="00625274"/>
    <w:rsid w:val="00626A73"/>
    <w:rsid w:val="00627DD5"/>
    <w:rsid w:val="0063015D"/>
    <w:rsid w:val="006329D8"/>
    <w:rsid w:val="006349BB"/>
    <w:rsid w:val="00637FA8"/>
    <w:rsid w:val="006405FA"/>
    <w:rsid w:val="006707D3"/>
    <w:rsid w:val="00672FD5"/>
    <w:rsid w:val="00692D96"/>
    <w:rsid w:val="00695BA7"/>
    <w:rsid w:val="006A306E"/>
    <w:rsid w:val="006A686B"/>
    <w:rsid w:val="006B1924"/>
    <w:rsid w:val="006C5166"/>
    <w:rsid w:val="006C63B4"/>
    <w:rsid w:val="006C6CBA"/>
    <w:rsid w:val="006C7B99"/>
    <w:rsid w:val="006D5393"/>
    <w:rsid w:val="007171E0"/>
    <w:rsid w:val="00724505"/>
    <w:rsid w:val="00724E90"/>
    <w:rsid w:val="00727E38"/>
    <w:rsid w:val="00733CB0"/>
    <w:rsid w:val="00736B0B"/>
    <w:rsid w:val="00746AD9"/>
    <w:rsid w:val="00753A0C"/>
    <w:rsid w:val="00760714"/>
    <w:rsid w:val="00763485"/>
    <w:rsid w:val="00776120"/>
    <w:rsid w:val="007959E1"/>
    <w:rsid w:val="007D2F3F"/>
    <w:rsid w:val="007D7CE3"/>
    <w:rsid w:val="007E33E0"/>
    <w:rsid w:val="007E5FD3"/>
    <w:rsid w:val="0080047D"/>
    <w:rsid w:val="00802D4B"/>
    <w:rsid w:val="008466C1"/>
    <w:rsid w:val="008503BF"/>
    <w:rsid w:val="008612A2"/>
    <w:rsid w:val="00886EA3"/>
    <w:rsid w:val="00894FD4"/>
    <w:rsid w:val="008A131C"/>
    <w:rsid w:val="008A2031"/>
    <w:rsid w:val="008A7369"/>
    <w:rsid w:val="008B05F1"/>
    <w:rsid w:val="008B4832"/>
    <w:rsid w:val="008B5849"/>
    <w:rsid w:val="008C57CE"/>
    <w:rsid w:val="008E09E3"/>
    <w:rsid w:val="008E27C8"/>
    <w:rsid w:val="008E6AAB"/>
    <w:rsid w:val="008E6C20"/>
    <w:rsid w:val="008F154E"/>
    <w:rsid w:val="009000F1"/>
    <w:rsid w:val="009003AC"/>
    <w:rsid w:val="00902AF0"/>
    <w:rsid w:val="00903DD7"/>
    <w:rsid w:val="00916798"/>
    <w:rsid w:val="00920D2B"/>
    <w:rsid w:val="00933E28"/>
    <w:rsid w:val="00945516"/>
    <w:rsid w:val="00947452"/>
    <w:rsid w:val="009502D3"/>
    <w:rsid w:val="0095147D"/>
    <w:rsid w:val="00951621"/>
    <w:rsid w:val="00975771"/>
    <w:rsid w:val="00984486"/>
    <w:rsid w:val="0099635E"/>
    <w:rsid w:val="009973F5"/>
    <w:rsid w:val="009A6CAA"/>
    <w:rsid w:val="009C175A"/>
    <w:rsid w:val="009C2B87"/>
    <w:rsid w:val="009D1406"/>
    <w:rsid w:val="009D21A1"/>
    <w:rsid w:val="009D6F16"/>
    <w:rsid w:val="009E3E81"/>
    <w:rsid w:val="009F2E88"/>
    <w:rsid w:val="009F7467"/>
    <w:rsid w:val="00A022A2"/>
    <w:rsid w:val="00A107CB"/>
    <w:rsid w:val="00A143F7"/>
    <w:rsid w:val="00A15C24"/>
    <w:rsid w:val="00A253AC"/>
    <w:rsid w:val="00A26CDF"/>
    <w:rsid w:val="00A33F81"/>
    <w:rsid w:val="00A35901"/>
    <w:rsid w:val="00A40DC4"/>
    <w:rsid w:val="00A51BBC"/>
    <w:rsid w:val="00A53763"/>
    <w:rsid w:val="00A54F6B"/>
    <w:rsid w:val="00A55F7D"/>
    <w:rsid w:val="00A566A6"/>
    <w:rsid w:val="00A65A05"/>
    <w:rsid w:val="00A753BD"/>
    <w:rsid w:val="00A76791"/>
    <w:rsid w:val="00A82998"/>
    <w:rsid w:val="00A93D53"/>
    <w:rsid w:val="00A95DE7"/>
    <w:rsid w:val="00AA6940"/>
    <w:rsid w:val="00AE3674"/>
    <w:rsid w:val="00AE600E"/>
    <w:rsid w:val="00AE6408"/>
    <w:rsid w:val="00AF0D7B"/>
    <w:rsid w:val="00AF2870"/>
    <w:rsid w:val="00B0546F"/>
    <w:rsid w:val="00B1110F"/>
    <w:rsid w:val="00B176E9"/>
    <w:rsid w:val="00B21516"/>
    <w:rsid w:val="00B33091"/>
    <w:rsid w:val="00B36E9E"/>
    <w:rsid w:val="00B55B29"/>
    <w:rsid w:val="00B63B13"/>
    <w:rsid w:val="00B6512B"/>
    <w:rsid w:val="00B707DC"/>
    <w:rsid w:val="00B861DF"/>
    <w:rsid w:val="00B87476"/>
    <w:rsid w:val="00B9186E"/>
    <w:rsid w:val="00B919E9"/>
    <w:rsid w:val="00B93DDE"/>
    <w:rsid w:val="00B941C1"/>
    <w:rsid w:val="00BB1DE6"/>
    <w:rsid w:val="00BB6869"/>
    <w:rsid w:val="00BB720D"/>
    <w:rsid w:val="00BB7F76"/>
    <w:rsid w:val="00BC2CA9"/>
    <w:rsid w:val="00BD373D"/>
    <w:rsid w:val="00BE77A6"/>
    <w:rsid w:val="00BF6DB8"/>
    <w:rsid w:val="00C000C4"/>
    <w:rsid w:val="00C066E3"/>
    <w:rsid w:val="00C27D78"/>
    <w:rsid w:val="00C32C08"/>
    <w:rsid w:val="00C37EC9"/>
    <w:rsid w:val="00C53FCE"/>
    <w:rsid w:val="00C54D85"/>
    <w:rsid w:val="00C565A5"/>
    <w:rsid w:val="00C56958"/>
    <w:rsid w:val="00C8032D"/>
    <w:rsid w:val="00C82FE6"/>
    <w:rsid w:val="00C83317"/>
    <w:rsid w:val="00C83FD0"/>
    <w:rsid w:val="00C87FAF"/>
    <w:rsid w:val="00CA5E6E"/>
    <w:rsid w:val="00CB58F6"/>
    <w:rsid w:val="00CB7E5A"/>
    <w:rsid w:val="00CC6334"/>
    <w:rsid w:val="00CD0AEB"/>
    <w:rsid w:val="00CD0BFD"/>
    <w:rsid w:val="00CD266E"/>
    <w:rsid w:val="00CE2983"/>
    <w:rsid w:val="00CE5CAF"/>
    <w:rsid w:val="00D00546"/>
    <w:rsid w:val="00D06740"/>
    <w:rsid w:val="00D13595"/>
    <w:rsid w:val="00D15E13"/>
    <w:rsid w:val="00D43987"/>
    <w:rsid w:val="00D56DF0"/>
    <w:rsid w:val="00D65D70"/>
    <w:rsid w:val="00D65F06"/>
    <w:rsid w:val="00D70F7E"/>
    <w:rsid w:val="00D749A8"/>
    <w:rsid w:val="00D7787C"/>
    <w:rsid w:val="00D82361"/>
    <w:rsid w:val="00D87170"/>
    <w:rsid w:val="00D940AF"/>
    <w:rsid w:val="00D97007"/>
    <w:rsid w:val="00DA28B2"/>
    <w:rsid w:val="00DA7797"/>
    <w:rsid w:val="00DB1EAE"/>
    <w:rsid w:val="00DC4CBD"/>
    <w:rsid w:val="00DD19CC"/>
    <w:rsid w:val="00DD7F38"/>
    <w:rsid w:val="00DE633E"/>
    <w:rsid w:val="00DF7AFD"/>
    <w:rsid w:val="00E03D2F"/>
    <w:rsid w:val="00E06161"/>
    <w:rsid w:val="00E141DA"/>
    <w:rsid w:val="00E21176"/>
    <w:rsid w:val="00E24C2B"/>
    <w:rsid w:val="00E312D5"/>
    <w:rsid w:val="00E32EED"/>
    <w:rsid w:val="00E40D59"/>
    <w:rsid w:val="00E43FDD"/>
    <w:rsid w:val="00E6295F"/>
    <w:rsid w:val="00E6754A"/>
    <w:rsid w:val="00E773DC"/>
    <w:rsid w:val="00E777B4"/>
    <w:rsid w:val="00E97628"/>
    <w:rsid w:val="00EA4106"/>
    <w:rsid w:val="00EB140F"/>
    <w:rsid w:val="00EB7620"/>
    <w:rsid w:val="00EB7A88"/>
    <w:rsid w:val="00EC0BCD"/>
    <w:rsid w:val="00EC6570"/>
    <w:rsid w:val="00EC6E30"/>
    <w:rsid w:val="00ED5676"/>
    <w:rsid w:val="00ED7EF7"/>
    <w:rsid w:val="00EE7599"/>
    <w:rsid w:val="00EF14DF"/>
    <w:rsid w:val="00EF5E0A"/>
    <w:rsid w:val="00F066EC"/>
    <w:rsid w:val="00F21EFC"/>
    <w:rsid w:val="00F231F7"/>
    <w:rsid w:val="00F2612E"/>
    <w:rsid w:val="00F27700"/>
    <w:rsid w:val="00F309C1"/>
    <w:rsid w:val="00F43F82"/>
    <w:rsid w:val="00F54882"/>
    <w:rsid w:val="00F61E32"/>
    <w:rsid w:val="00F67496"/>
    <w:rsid w:val="00F7755F"/>
    <w:rsid w:val="00F87B02"/>
    <w:rsid w:val="00F96A5D"/>
    <w:rsid w:val="00FC59C5"/>
    <w:rsid w:val="00FD433D"/>
    <w:rsid w:val="04884C32"/>
    <w:rsid w:val="12024DD8"/>
    <w:rsid w:val="17497B59"/>
    <w:rsid w:val="1CF7137D"/>
    <w:rsid w:val="2F975267"/>
    <w:rsid w:val="3A5C65D7"/>
    <w:rsid w:val="42031418"/>
    <w:rsid w:val="539A4AC7"/>
    <w:rsid w:val="5F8B7867"/>
    <w:rsid w:val="604310ED"/>
    <w:rsid w:val="6D086606"/>
    <w:rsid w:val="718204F7"/>
    <w:rsid w:val="7BFF7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8"/>
    <w:semiHidden/>
    <w:unhideWhenUsed/>
    <w:qFormat/>
    <w:uiPriority w:val="9"/>
    <w:pPr>
      <w:spacing w:beforeAutospacing="1" w:afterAutospacing="1"/>
      <w:jc w:val="left"/>
      <w:outlineLvl w:val="2"/>
    </w:pPr>
    <w:rPr>
      <w:rFonts w:hint="eastAsia" w:ascii="宋体" w:hAnsi="宋体"/>
      <w:b/>
      <w:kern w:val="0"/>
      <w:sz w:val="27"/>
      <w:szCs w:val="27"/>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unhideWhenUsed/>
    <w:qFormat/>
    <w:uiPriority w:val="99"/>
    <w:pPr>
      <w:jc w:val="left"/>
    </w:pPr>
  </w:style>
  <w:style w:type="paragraph" w:styleId="4">
    <w:name w:val="Balloon Text"/>
    <w:basedOn w:val="1"/>
    <w:link w:val="17"/>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8">
    <w:name w:val="Title"/>
    <w:basedOn w:val="1"/>
    <w:next w:val="1"/>
    <w:link w:val="16"/>
    <w:qFormat/>
    <w:uiPriority w:val="10"/>
    <w:pPr>
      <w:spacing w:before="240" w:after="60"/>
      <w:jc w:val="center"/>
      <w:outlineLvl w:val="0"/>
    </w:pPr>
    <w:rPr>
      <w:rFonts w:asciiTheme="majorHAnsi" w:hAnsiTheme="majorHAnsi" w:eastAsiaTheme="majorEastAsia" w:cstheme="majorBidi"/>
      <w:b/>
      <w:bCs/>
      <w:sz w:val="32"/>
      <w:szCs w:val="32"/>
    </w:rPr>
  </w:style>
  <w:style w:type="paragraph" w:styleId="9">
    <w:name w:val="annotation subject"/>
    <w:basedOn w:val="3"/>
    <w:next w:val="3"/>
    <w:link w:val="21"/>
    <w:autoRedefine/>
    <w:semiHidden/>
    <w:unhideWhenUsed/>
    <w:qFormat/>
    <w:uiPriority w:val="99"/>
    <w:rPr>
      <w:b/>
      <w:bCs/>
    </w:rPr>
  </w:style>
  <w:style w:type="table" w:styleId="11">
    <w:name w:val="Table Grid"/>
    <w:basedOn w:val="1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semiHidden/>
    <w:unhideWhenUsed/>
    <w:qFormat/>
    <w:uiPriority w:val="99"/>
    <w:rPr>
      <w:sz w:val="21"/>
      <w:szCs w:val="21"/>
    </w:rPr>
  </w:style>
  <w:style w:type="character" w:customStyle="1" w:styleId="14">
    <w:name w:val="页眉 字符"/>
    <w:basedOn w:val="12"/>
    <w:link w:val="6"/>
    <w:qFormat/>
    <w:uiPriority w:val="99"/>
    <w:rPr>
      <w:sz w:val="18"/>
      <w:szCs w:val="18"/>
    </w:rPr>
  </w:style>
  <w:style w:type="character" w:customStyle="1" w:styleId="15">
    <w:name w:val="页脚 字符"/>
    <w:basedOn w:val="12"/>
    <w:link w:val="5"/>
    <w:autoRedefine/>
    <w:qFormat/>
    <w:uiPriority w:val="99"/>
    <w:rPr>
      <w:sz w:val="18"/>
      <w:szCs w:val="18"/>
    </w:rPr>
  </w:style>
  <w:style w:type="character" w:customStyle="1" w:styleId="16">
    <w:name w:val="标题 字符"/>
    <w:basedOn w:val="12"/>
    <w:link w:val="8"/>
    <w:autoRedefine/>
    <w:qFormat/>
    <w:uiPriority w:val="10"/>
    <w:rPr>
      <w:rFonts w:asciiTheme="majorHAnsi" w:hAnsiTheme="majorHAnsi" w:eastAsiaTheme="majorEastAsia" w:cstheme="majorBidi"/>
      <w:b/>
      <w:bCs/>
      <w:sz w:val="32"/>
      <w:szCs w:val="32"/>
    </w:rPr>
  </w:style>
  <w:style w:type="character" w:customStyle="1" w:styleId="17">
    <w:name w:val="批注框文本 字符"/>
    <w:basedOn w:val="12"/>
    <w:link w:val="4"/>
    <w:semiHidden/>
    <w:qFormat/>
    <w:uiPriority w:val="99"/>
    <w:rPr>
      <w:sz w:val="18"/>
      <w:szCs w:val="18"/>
    </w:rPr>
  </w:style>
  <w:style w:type="character" w:customStyle="1" w:styleId="18">
    <w:name w:val="标题 3 字符"/>
    <w:basedOn w:val="12"/>
    <w:link w:val="2"/>
    <w:semiHidden/>
    <w:qFormat/>
    <w:uiPriority w:val="9"/>
    <w:rPr>
      <w:rFonts w:ascii="宋体" w:hAnsi="宋体" w:eastAsia="宋体" w:cs="Times New Roman"/>
      <w:b/>
      <w:kern w:val="0"/>
      <w:sz w:val="27"/>
      <w:szCs w:val="27"/>
    </w:rPr>
  </w:style>
  <w:style w:type="paragraph" w:styleId="19">
    <w:name w:val="List Paragraph"/>
    <w:basedOn w:val="1"/>
    <w:qFormat/>
    <w:uiPriority w:val="99"/>
    <w:pPr>
      <w:ind w:left="720"/>
      <w:contextualSpacing/>
    </w:pPr>
  </w:style>
  <w:style w:type="character" w:customStyle="1" w:styleId="20">
    <w:name w:val="批注文字 字符"/>
    <w:basedOn w:val="12"/>
    <w:link w:val="3"/>
    <w:autoRedefine/>
    <w:qFormat/>
    <w:uiPriority w:val="99"/>
  </w:style>
  <w:style w:type="character" w:customStyle="1" w:styleId="21">
    <w:name w:val="批注主题 字符"/>
    <w:basedOn w:val="20"/>
    <w:link w:val="9"/>
    <w:semiHidden/>
    <w:qFormat/>
    <w:uiPriority w:val="99"/>
    <w:rPr>
      <w:b/>
      <w:bCs/>
    </w:rPr>
  </w:style>
  <w:style w:type="paragraph" w:customStyle="1" w:styleId="22">
    <w:name w:val="正文3"/>
    <w:autoRedefine/>
    <w:qFormat/>
    <w:uiPriority w:val="0"/>
    <w:pPr>
      <w:widowControl w:val="0"/>
      <w:jc w:val="both"/>
    </w:pPr>
    <w:rPr>
      <w:rFonts w:ascii="等线" w:hAnsi="等线" w:eastAsia="等线"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b5b62c72-33df-4a29-a921-fd6957cdfc41">HUDSTA2DJPP3-460479290-142</_dlc_DocId>
    <_dlc_DocIdUrl xmlns="b5b62c72-33df-4a29-a921-fd6957cdfc41">
      <Url>https://sp16.cuhk.edu.cn/eamo/_layouts/15/DocIdRedir.aspx?ID=HUDSTA2DJPP3-460479290-142</Url>
      <Description>HUDSTA2DJPP3-460479290-142</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73062A300E6E449F516335DDC57058" ma:contentTypeVersion="1" ma:contentTypeDescription="Create a new document." ma:contentTypeScope="" ma:versionID="f476f6b9a7fd1c1ed7d7494a8e435539">
  <xsd:schema xmlns:xsd="http://www.w3.org/2001/XMLSchema" xmlns:xs="http://www.w3.org/2001/XMLSchema" xmlns:p="http://schemas.microsoft.com/office/2006/metadata/properties" xmlns:ns2="b5b62c72-33df-4a29-a921-fd6957cdfc41" targetNamespace="http://schemas.microsoft.com/office/2006/metadata/properties" ma:root="true" ma:fieldsID="e753f59da4223d80817749df90d02c34" ns2:_="">
    <xsd:import namespace="b5b62c72-33df-4a29-a921-fd6957cdfc4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b62c72-33df-4a29-a921-fd6957cdfc4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3C0C87-6ED7-4C54-B4AB-FD04431DDFD4}">
  <ds:schemaRefs/>
</ds:datastoreItem>
</file>

<file path=customXml/itemProps2.xml><?xml version="1.0" encoding="utf-8"?>
<ds:datastoreItem xmlns:ds="http://schemas.openxmlformats.org/officeDocument/2006/customXml" ds:itemID="{750E6BD5-F17D-4550-B0D1-8EF9D07846BE}">
  <ds:schemaRefs/>
</ds:datastoreItem>
</file>

<file path=customXml/itemProps3.xml><?xml version="1.0" encoding="utf-8"?>
<ds:datastoreItem xmlns:ds="http://schemas.openxmlformats.org/officeDocument/2006/customXml" ds:itemID="{097F01AA-1353-4BB4-81DE-C6E332E4FE83}">
  <ds:schemaRefs/>
</ds:datastoreItem>
</file>

<file path=customXml/itemProps4.xml><?xml version="1.0" encoding="utf-8"?>
<ds:datastoreItem xmlns:ds="http://schemas.openxmlformats.org/officeDocument/2006/customXml" ds:itemID="{653747CD-9C05-48E7-9F50-4DF7DDC1A3E0}">
  <ds:schemaRefs/>
</ds:datastoreItem>
</file>

<file path=customXml/itemProps5.xml><?xml version="1.0" encoding="utf-8"?>
<ds:datastoreItem xmlns:ds="http://schemas.openxmlformats.org/officeDocument/2006/customXml" ds:itemID="{073282CB-B586-4F44-BB48-B5CCCCBBB2FC}">
  <ds:schemaRefs/>
</ds:datastoreItem>
</file>

<file path=docProps/app.xml><?xml version="1.0" encoding="utf-8"?>
<Properties xmlns="http://schemas.openxmlformats.org/officeDocument/2006/extended-properties" xmlns:vt="http://schemas.openxmlformats.org/officeDocument/2006/docPropsVTypes">
  <Template>Normal.dotm</Template>
  <Pages>2</Pages>
  <Words>4771</Words>
  <Characters>5516</Characters>
  <Lines>37</Lines>
  <Paragraphs>10</Paragraphs>
  <TotalTime>5</TotalTime>
  <ScaleCrop>false</ScaleCrop>
  <LinksUpToDate>false</LinksUpToDate>
  <CharactersWithSpaces>5709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2020-06-05T09:53:00Z</dcterms:created>
  <dc:creator>Lily Gu (EAMO)</dc:creator>
  <cp:lastModifiedBy>Whisper-张</cp:lastModifiedBy>
  <cp:lastPrinted>2020-05-09T08:24:00Z</cp:lastPrinted>
  <dcterms:modified xsi:type="dcterms:W3CDTF">2025-12-10T09:07:41Z</dcterms:modified>
  <cp:revision>412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0x0101002073062A300E6E449F516335DDC57058</vt:lpwstr>
  </property>
  <property fmtid="{D5CDD505-2E9C-101B-9397-08002B2CF9AE}" pid="3" name="_dlc_DocIdItemGuid">
    <vt:lpwstr>3a420ff3-845b-4536-8784-072ae158aa34</vt:lpwstr>
  </property>
  <property fmtid="{D5CDD505-2E9C-101B-9397-08002B2CF9AE}" pid="4" name="KSOProductBuildVer">
    <vt:lpwstr>2052-12.1.0.24034</vt:lpwstr>
  </property>
  <property fmtid="{D5CDD505-2E9C-101B-9397-08002B2CF9AE}" pid="5" name="ICV">
    <vt:lpwstr>225E4DB9B371482C83CB4BCAC4A039BC_12</vt:lpwstr>
  </property>
  <property fmtid="{D5CDD505-2E9C-101B-9397-08002B2CF9AE}" pid="6" name="KSOTemplateDocerSaveRecord">
    <vt:lpwstr>eyJoZGlkIjoiMTBkZDBlNjNjYTIwN2U1YjA1YjcwMzBiMDdhY2QxYTUiLCJ1c2VySWQiOiIzMjcyNTEyOTYifQ==</vt:lpwstr>
  </property>
</Properties>
</file>