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360" w:lineRule="exact"/>
        <w:jc w:val="center"/>
        <w:rPr>
          <w:rFonts w:eastAsia="黑体"/>
          <w:bCs w:val="0"/>
          <w:sz w:val="32"/>
          <w:szCs w:val="32"/>
        </w:rPr>
      </w:pPr>
      <w:r>
        <w:rPr>
          <w:color w:val="1A2029"/>
          <w:sz w:val="32"/>
          <w:szCs w:val="32"/>
          <w:shd w:val="clear" w:color="auto" w:fill="FFFFFF"/>
        </w:rPr>
        <w:t xml:space="preserve">Compliance Review Key Points for </w:t>
      </w:r>
      <w:r>
        <w:rPr>
          <w:rFonts w:hint="eastAsia"/>
          <w:color w:val="1A2029"/>
          <w:sz w:val="32"/>
          <w:szCs w:val="32"/>
          <w:shd w:val="clear" w:color="auto" w:fill="FFFFFF"/>
        </w:rPr>
        <w:t>the 2024 General Program Sponsored by Basic Research Fund in Shenzhen Natural Science Foundation</w:t>
      </w:r>
    </w:p>
    <w:p>
      <w:pPr>
        <w:rPr>
          <w:b/>
        </w:rPr>
      </w:pPr>
    </w:p>
    <w:tbl>
      <w:tblPr>
        <w:tblStyle w:val="10"/>
        <w:tblW w:w="1391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127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9" w:type="dxa"/>
            <w:vAlign w:val="center"/>
          </w:tcPr>
          <w:p>
            <w:pPr>
              <w:spacing w:line="360" w:lineRule="exact"/>
              <w:ind w:right="25" w:rightChars="12"/>
              <w:jc w:val="center"/>
              <w:rPr>
                <w:b/>
                <w:szCs w:val="21"/>
              </w:rPr>
            </w:pPr>
            <w:r>
              <w:rPr>
                <w:b/>
                <w:szCs w:val="21"/>
              </w:rPr>
              <w:t>No.</w:t>
            </w:r>
          </w:p>
        </w:tc>
        <w:tc>
          <w:tcPr>
            <w:tcW w:w="12748" w:type="dxa"/>
            <w:vAlign w:val="center"/>
          </w:tcPr>
          <w:p>
            <w:pPr>
              <w:snapToGrid w:val="0"/>
              <w:spacing w:line="360" w:lineRule="exact"/>
              <w:ind w:right="25" w:rightChars="12"/>
              <w:jc w:val="center"/>
              <w:rPr>
                <w:b/>
                <w:szCs w:val="21"/>
              </w:rPr>
            </w:pPr>
            <w:r>
              <w:rPr>
                <w:b/>
                <w:szCs w:val="21"/>
              </w:rPr>
              <w:t xml:space="preserve">Review Key Points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9" w:type="dxa"/>
            <w:vAlign w:val="center"/>
          </w:tcPr>
          <w:p>
            <w:pPr>
              <w:spacing w:line="360" w:lineRule="exact"/>
              <w:ind w:right="25" w:rightChars="12"/>
              <w:jc w:val="center"/>
              <w:rPr>
                <w:szCs w:val="21"/>
              </w:rPr>
            </w:pPr>
            <w:r>
              <w:rPr>
                <w:szCs w:val="21"/>
              </w:rPr>
              <w:t>1</w:t>
            </w:r>
          </w:p>
        </w:tc>
        <w:tc>
          <w:tcPr>
            <w:tcW w:w="12748" w:type="dxa"/>
            <w:vAlign w:val="center"/>
          </w:tcPr>
          <w:p>
            <w:pPr>
              <w:snapToGrid w:val="0"/>
              <w:spacing w:line="360" w:lineRule="exact"/>
              <w:ind w:right="25" w:rightChars="12"/>
              <w:rPr>
                <w:szCs w:val="21"/>
              </w:rPr>
            </w:pPr>
            <w:r>
              <w:rPr>
                <w:rFonts w:hint="eastAsia"/>
                <w:b/>
                <w:bCs/>
                <w:szCs w:val="21"/>
              </w:rPr>
              <w:t>T</w:t>
            </w:r>
            <w:r>
              <w:rPr>
                <w:b/>
                <w:bCs/>
                <w:szCs w:val="21"/>
              </w:rPr>
              <w:t xml:space="preserve">he applicant </w:t>
            </w:r>
            <w:r>
              <w:rPr>
                <w:rFonts w:hint="eastAsia"/>
                <w:b/>
                <w:bCs/>
                <w:szCs w:val="21"/>
              </w:rPr>
              <w:t>institutions</w:t>
            </w:r>
            <w:r>
              <w:rPr>
                <w:b/>
                <w:bCs/>
                <w:szCs w:val="21"/>
              </w:rPr>
              <w:t xml:space="preserve"> must meet the following requirements:</w:t>
            </w:r>
          </w:p>
          <w:p>
            <w:pPr>
              <w:snapToGrid w:val="0"/>
              <w:spacing w:line="360" w:lineRule="exact"/>
              <w:ind w:right="25" w:rightChars="12"/>
              <w:rPr>
                <w:szCs w:val="21"/>
              </w:rPr>
            </w:pPr>
            <w:r>
              <w:rPr>
                <w:rFonts w:hint="eastAsia"/>
                <w:szCs w:val="32"/>
                <w:lang w:bidi="ar"/>
              </w:rPr>
              <w:t>An application institution is defined as an organization which summits applications and hosts the applied project and its principal investigator(s). An application institution must be registered in Shenzhen or the Shenzhen-Shanwei Special Cooperation Zone. An application institution should have an independent legal-person status; universities, research institutions, medical and health institutions, enterprises/social organizations with research capabilities, or any other institutions approved by the Shenzhen government are eligible.</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1169" w:type="dxa"/>
            <w:vAlign w:val="center"/>
          </w:tcPr>
          <w:p>
            <w:pPr>
              <w:spacing w:line="360" w:lineRule="exact"/>
              <w:ind w:right="25" w:rightChars="12"/>
              <w:jc w:val="center"/>
              <w:rPr>
                <w:szCs w:val="21"/>
              </w:rPr>
            </w:pPr>
            <w:r>
              <w:rPr>
                <w:szCs w:val="21"/>
              </w:rPr>
              <w:t>2</w:t>
            </w:r>
          </w:p>
        </w:tc>
        <w:tc>
          <w:tcPr>
            <w:tcW w:w="12748" w:type="dxa"/>
          </w:tcPr>
          <w:p>
            <w:pPr>
              <w:rPr>
                <w:rFonts w:hint="eastAsia"/>
                <w:szCs w:val="32"/>
                <w:lang w:bidi="ar"/>
              </w:rPr>
            </w:pPr>
            <w:r>
              <w:rPr>
                <w:rFonts w:hint="eastAsia"/>
                <w:b/>
                <w:bCs/>
                <w:szCs w:val="32"/>
                <w:lang w:bidi="ar"/>
              </w:rPr>
              <w:t>The Principal Investigator (PI)</w:t>
            </w:r>
            <w:r>
              <w:rPr>
                <w:rFonts w:hint="eastAsia"/>
                <w:szCs w:val="32"/>
                <w:lang w:bidi="ar"/>
              </w:rPr>
              <w:t xml:space="preserve"> of a project must be a full-time employee of the application institution, with the primary role of guiding and performing most of the work of  the project, has had sufficient experience in the applicable research project, and meets one of the following requirements:</w:t>
            </w:r>
          </w:p>
          <w:p>
            <w:pPr>
              <w:rPr>
                <w:rFonts w:hint="eastAsia"/>
                <w:szCs w:val="32"/>
                <w:lang w:bidi="ar"/>
              </w:rPr>
            </w:pPr>
            <w:r>
              <w:rPr>
                <w:rFonts w:hint="eastAsia"/>
                <w:szCs w:val="32"/>
                <w:lang w:bidi="ar"/>
              </w:rPr>
              <w:t>1. The PI has had a professional and technical position at senior level.</w:t>
            </w:r>
          </w:p>
          <w:p>
            <w:pPr>
              <w:rPr>
                <w:rFonts w:hint="eastAsia"/>
                <w:szCs w:val="32"/>
                <w:lang w:bidi="ar"/>
              </w:rPr>
            </w:pPr>
            <w:r>
              <w:rPr>
                <w:rFonts w:hint="eastAsia"/>
                <w:szCs w:val="32"/>
                <w:lang w:bidi="ar"/>
              </w:rPr>
              <w:t>2. The PI must have earned a doctoral degree or be currently enrolled as a doctoral student. If  the PI is a doctoral student, the restriction of being a full-time employee of the application institution will not apply, but the PI must receive a written approval of their advisor (explicitly stating the start and end dates of the PI’s doctoral study and confirming that the result of dissertation will not be directly used for this project). The application institution should also properly arrange and coordinate the execution of the applied project with the academic study of the doctoral student to ensure the project will be completed on time.</w:t>
            </w:r>
          </w:p>
          <w:p>
            <w:pPr>
              <w:rPr>
                <w:szCs w:val="32"/>
                <w:lang w:bidi="ar"/>
              </w:rPr>
            </w:pPr>
            <w:r>
              <w:rPr>
                <w:rFonts w:hint="eastAsia"/>
                <w:szCs w:val="32"/>
                <w:lang w:bidi="ar"/>
              </w:rPr>
              <w:t>3. If the PI does not have a doctoral degree, but a master’s, and/or when the PI does not have a senior-level position but an intermediate-level position, the PI must be recommended by two senior-level scientific researchers.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9" w:type="dxa"/>
            <w:vAlign w:val="center"/>
          </w:tcPr>
          <w:p>
            <w:pPr>
              <w:spacing w:line="360" w:lineRule="exact"/>
              <w:ind w:right="25" w:rightChars="12"/>
              <w:jc w:val="center"/>
              <w:rPr>
                <w:szCs w:val="21"/>
              </w:rPr>
            </w:pPr>
            <w:r>
              <w:rPr>
                <w:rFonts w:hint="eastAsia"/>
                <w:szCs w:val="21"/>
              </w:rPr>
              <w:t>3</w:t>
            </w:r>
          </w:p>
        </w:tc>
        <w:tc>
          <w:tcPr>
            <w:tcW w:w="12748" w:type="dxa"/>
            <w:vAlign w:val="center"/>
          </w:tcPr>
          <w:p>
            <w:pPr>
              <w:pStyle w:val="2"/>
              <w:spacing w:before="0" w:after="0" w:line="240" w:lineRule="auto"/>
              <w:rPr>
                <w:rFonts w:hint="eastAsia"/>
                <w:b w:val="0"/>
                <w:bCs w:val="0"/>
                <w:kern w:val="2"/>
                <w:sz w:val="21"/>
                <w:szCs w:val="32"/>
                <w:lang w:bidi="ar"/>
              </w:rPr>
            </w:pPr>
            <w:r>
              <w:rPr>
                <w:kern w:val="2"/>
                <w:sz w:val="21"/>
                <w:szCs w:val="32"/>
                <w:lang w:bidi="ar"/>
              </w:rPr>
              <w:t xml:space="preserve">When there is a collaborative </w:t>
            </w:r>
            <w:r>
              <w:rPr>
                <w:rFonts w:hint="eastAsia"/>
                <w:kern w:val="2"/>
                <w:sz w:val="21"/>
                <w:szCs w:val="32"/>
                <w:lang w:bidi="ar"/>
              </w:rPr>
              <w:t>institutions</w:t>
            </w:r>
            <w:r>
              <w:rPr>
                <w:kern w:val="2"/>
                <w:sz w:val="21"/>
                <w:szCs w:val="32"/>
                <w:lang w:bidi="ar"/>
              </w:rPr>
              <w:t xml:space="preserve">: </w:t>
            </w:r>
            <w:r>
              <w:rPr>
                <w:rFonts w:hint="eastAsia"/>
                <w:b w:val="0"/>
                <w:bCs w:val="0"/>
                <w:kern w:val="2"/>
                <w:sz w:val="21"/>
                <w:szCs w:val="32"/>
                <w:lang w:bidi="ar"/>
              </w:rPr>
              <w:t>The number of researchers (including the PI) for a project should be no more than five individuals. Except for the PI, other researchers on the team may come from a collaborative institution different from the application institution. Collaborative institutions and their researchers should meet the following requirements:</w:t>
            </w:r>
          </w:p>
          <w:p>
            <w:pPr>
              <w:pStyle w:val="2"/>
              <w:spacing w:before="0" w:after="0" w:line="240" w:lineRule="auto"/>
              <w:rPr>
                <w:rFonts w:hint="eastAsia"/>
                <w:b w:val="0"/>
                <w:bCs w:val="0"/>
                <w:kern w:val="2"/>
                <w:sz w:val="21"/>
                <w:szCs w:val="32"/>
                <w:lang w:bidi="ar"/>
              </w:rPr>
            </w:pPr>
            <w:r>
              <w:rPr>
                <w:rFonts w:hint="eastAsia"/>
                <w:b w:val="0"/>
                <w:bCs w:val="0"/>
                <w:kern w:val="2"/>
                <w:sz w:val="21"/>
                <w:szCs w:val="32"/>
                <w:lang w:bidi="ar"/>
              </w:rPr>
              <w:t>1. The collaborative institutions must have an independent legal-person status. For each project, only one collaborative institution is allowed. The number of researchers from the collaborative institution may not exceed the number of researchers from the application institution.</w:t>
            </w:r>
          </w:p>
          <w:p>
            <w:pPr>
              <w:pStyle w:val="2"/>
              <w:spacing w:before="0" w:after="0" w:line="240" w:lineRule="auto"/>
              <w:rPr>
                <w:rFonts w:hint="eastAsia"/>
                <w:b w:val="0"/>
                <w:bCs w:val="0"/>
                <w:kern w:val="2"/>
                <w:sz w:val="21"/>
                <w:szCs w:val="32"/>
                <w:lang w:bidi="ar"/>
              </w:rPr>
            </w:pPr>
            <w:r>
              <w:rPr>
                <w:rFonts w:hint="eastAsia"/>
                <w:b w:val="0"/>
                <w:bCs w:val="0"/>
                <w:kern w:val="2"/>
                <w:sz w:val="21"/>
                <w:szCs w:val="32"/>
                <w:lang w:bidi="ar"/>
              </w:rPr>
              <w:t xml:space="preserve">2. An application form should identify the collaborative institution and be stamped by its official seal. In the case that a collaborative institution is based in Hong Kong or Macau, a signature of the institution’s president or her/his authorized representative can be used instead. </w:t>
            </w:r>
          </w:p>
          <w:p>
            <w:pPr>
              <w:pStyle w:val="2"/>
              <w:spacing w:before="0" w:after="0" w:line="240" w:lineRule="auto"/>
              <w:rPr>
                <w:b w:val="0"/>
                <w:bCs w:val="0"/>
                <w:kern w:val="2"/>
                <w:sz w:val="21"/>
                <w:szCs w:val="32"/>
                <w:lang w:bidi="ar"/>
              </w:rPr>
            </w:pPr>
            <w:r>
              <w:rPr>
                <w:rFonts w:hint="eastAsia"/>
                <w:b w:val="0"/>
                <w:bCs w:val="0"/>
                <w:kern w:val="2"/>
                <w:sz w:val="21"/>
                <w:szCs w:val="32"/>
                <w:lang w:bidi="ar"/>
              </w:rPr>
              <w:t xml:space="preserve">3. A collaboration agreement should be provided no later than the time when the project is approved and established. The agreement should specify task assignments, capital investment distribution, and intellectual property rights ownership, among which the intellectual property rights ownership should be included in the institution in Shenzhen. The applying institution should undertake the majority of the project's research and development tasks. The application institution should have majority share of the budget.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9" w:type="dxa"/>
            <w:vAlign w:val="center"/>
          </w:tcPr>
          <w:p>
            <w:pPr>
              <w:spacing w:line="360" w:lineRule="exact"/>
              <w:ind w:right="25" w:rightChars="12"/>
              <w:jc w:val="center"/>
              <w:rPr>
                <w:szCs w:val="21"/>
              </w:rPr>
            </w:pPr>
            <w:r>
              <w:rPr>
                <w:rFonts w:hint="eastAsia"/>
                <w:szCs w:val="21"/>
              </w:rPr>
              <w:t>4</w:t>
            </w:r>
          </w:p>
        </w:tc>
        <w:tc>
          <w:tcPr>
            <w:tcW w:w="12748" w:type="dxa"/>
            <w:vAlign w:val="center"/>
          </w:tcPr>
          <w:p>
            <w:pPr>
              <w:rPr>
                <w:b/>
                <w:bCs/>
                <w:szCs w:val="32"/>
                <w:lang w:bidi="ar"/>
              </w:rPr>
            </w:pPr>
            <w:r>
              <w:rPr>
                <w:rFonts w:hint="eastAsia"/>
                <w:b/>
                <w:bCs/>
                <w:szCs w:val="32"/>
                <w:lang w:bidi="ar"/>
              </w:rPr>
              <w:t>If the application institution or collaboration institution is an enterprise</w:t>
            </w:r>
            <w:r>
              <w:rPr>
                <w:rFonts w:hint="eastAsia"/>
                <w:szCs w:val="32"/>
                <w:lang w:bidi="ar"/>
              </w:rPr>
              <w:t>, a commitment letter for matching funds must be provided, pledging that the amount of matching funds (committed by the enterprise) will be no less than the amount which the enterprise  receives from SNSF/GP for this project.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69" w:type="dxa"/>
            <w:vAlign w:val="center"/>
          </w:tcPr>
          <w:p>
            <w:pPr>
              <w:spacing w:line="360" w:lineRule="exact"/>
              <w:ind w:right="25" w:rightChars="12"/>
              <w:jc w:val="center"/>
              <w:rPr>
                <w:szCs w:val="21"/>
              </w:rPr>
            </w:pPr>
            <w:r>
              <w:rPr>
                <w:rFonts w:hint="eastAsia"/>
                <w:szCs w:val="21"/>
              </w:rPr>
              <w:t>5</w:t>
            </w:r>
          </w:p>
        </w:tc>
        <w:tc>
          <w:tcPr>
            <w:tcW w:w="12748" w:type="dxa"/>
            <w:vAlign w:val="center"/>
          </w:tcPr>
          <w:p>
            <w:pPr>
              <w:snapToGrid w:val="0"/>
              <w:spacing w:line="360" w:lineRule="exact"/>
              <w:ind w:right="25" w:rightChars="12"/>
              <w:rPr>
                <w:rFonts w:hint="eastAsia"/>
                <w:szCs w:val="32"/>
                <w:lang w:bidi="ar"/>
              </w:rPr>
            </w:pPr>
            <w:r>
              <w:rPr>
                <w:b/>
                <w:szCs w:val="32"/>
                <w:lang w:bidi="ar"/>
              </w:rPr>
              <w:t>Requirements for Scientific</w:t>
            </w:r>
            <w:r>
              <w:rPr>
                <w:szCs w:val="32"/>
                <w:lang w:bidi="ar"/>
              </w:rPr>
              <w:t xml:space="preserve"> </w:t>
            </w:r>
            <w:r>
              <w:rPr>
                <w:b/>
                <w:bCs/>
                <w:szCs w:val="32"/>
                <w:lang w:bidi="ar"/>
              </w:rPr>
              <w:t>Integrity</w:t>
            </w:r>
            <w:r>
              <w:rPr>
                <w:szCs w:val="32"/>
                <w:lang w:bidi="ar"/>
              </w:rPr>
              <w:t xml:space="preserve">: </w:t>
            </w:r>
            <w:r>
              <w:rPr>
                <w:rFonts w:hint="eastAsia"/>
                <w:szCs w:val="32"/>
                <w:lang w:bidi="ar"/>
              </w:rPr>
              <w:t xml:space="preserve">If an entity (an institution or a person) is on the list of scientific integrity abnormality and/or the list of </w:t>
            </w:r>
            <w:r>
              <w:rPr>
                <w:rFonts w:hint="default"/>
                <w:szCs w:val="32"/>
                <w:lang w:val="en" w:bidi="ar"/>
              </w:rPr>
              <w:t>Science, Technology and Innovation Bureau of Shenzhen Municipality</w:t>
            </w:r>
            <w:bookmarkStart w:id="0" w:name="_GoBack"/>
            <w:bookmarkEnd w:id="0"/>
            <w:r>
              <w:rPr>
                <w:rFonts w:hint="eastAsia"/>
                <w:szCs w:val="32"/>
                <w:lang w:bidi="ar"/>
              </w:rPr>
              <w:t>’s project disapproval, the entity is prohibited from acting  as an application/collaborative institution, Principal Investigator, or project team member.</w:t>
            </w:r>
          </w:p>
          <w:p>
            <w:pPr>
              <w:snapToGrid w:val="0"/>
              <w:spacing w:line="360" w:lineRule="exact"/>
              <w:ind w:right="25" w:rightChars="12"/>
              <w:rPr>
                <w:rFonts w:ascii="宋体" w:hAnsi="宋体" w:cs="宋体"/>
                <w:spacing w:val="-2"/>
                <w:szCs w:val="21"/>
              </w:rPr>
            </w:pPr>
            <w:r>
              <w:rPr>
                <w:rFonts w:hint="eastAsia"/>
                <w:szCs w:val="32"/>
                <w:lang w:bidi="ar"/>
              </w:rPr>
              <w:t xml:space="preserve">Any institution that has failed to return funds back to the government within the prescribed period is also prohibited from applying.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69" w:type="dxa"/>
            <w:vAlign w:val="center"/>
          </w:tcPr>
          <w:p>
            <w:pPr>
              <w:spacing w:line="360" w:lineRule="exact"/>
              <w:ind w:right="25" w:rightChars="12"/>
              <w:jc w:val="center"/>
              <w:rPr>
                <w:szCs w:val="21"/>
              </w:rPr>
            </w:pPr>
            <w:r>
              <w:rPr>
                <w:rFonts w:hint="eastAsia"/>
                <w:szCs w:val="21"/>
              </w:rPr>
              <w:t>6</w:t>
            </w:r>
          </w:p>
        </w:tc>
        <w:tc>
          <w:tcPr>
            <w:tcW w:w="12748" w:type="dxa"/>
            <w:vAlign w:val="center"/>
          </w:tcPr>
          <w:p>
            <w:pPr>
              <w:snapToGrid w:val="0"/>
              <w:spacing w:line="360" w:lineRule="exact"/>
              <w:ind w:right="25" w:rightChars="12"/>
              <w:rPr>
                <w:rFonts w:ascii="宋体" w:hAnsi="宋体" w:cs="宋体"/>
                <w:spacing w:val="-2"/>
                <w:szCs w:val="21"/>
              </w:rPr>
            </w:pPr>
            <w:r>
              <w:rPr>
                <w:b/>
                <w:szCs w:val="32"/>
                <w:lang w:bidi="ar"/>
              </w:rPr>
              <w:t>Requirements for Scientific Ethics and Safety:</w:t>
            </w:r>
            <w:r>
              <w:rPr>
                <w:szCs w:val="32"/>
                <w:lang w:bidi="ar"/>
              </w:rPr>
              <w:t xml:space="preserve"> </w:t>
            </w:r>
            <w:r>
              <w:rPr>
                <w:rFonts w:hint="eastAsia"/>
                <w:szCs w:val="32"/>
                <w:lang w:bidi="ar"/>
              </w:rPr>
              <w:t>For projects that involve S&amp;T ethics and safety (e.g., clinical, biological, informational and ecological) requirements, both the application and collaborative institutions must adhere to all relevant national laws, regulations, and standards. If an ethical review is required by regulations, these institutions must also submit review and approval documents that fully comply with the applicable national laws, regulations, and ethical norms.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69" w:type="dxa"/>
            <w:vAlign w:val="center"/>
          </w:tcPr>
          <w:p>
            <w:pPr>
              <w:spacing w:line="360" w:lineRule="exact"/>
              <w:ind w:right="25" w:rightChars="12"/>
              <w:jc w:val="center"/>
              <w:rPr>
                <w:szCs w:val="21"/>
              </w:rPr>
            </w:pPr>
            <w:r>
              <w:rPr>
                <w:rFonts w:hint="eastAsia"/>
                <w:szCs w:val="21"/>
              </w:rPr>
              <w:t>7</w:t>
            </w:r>
          </w:p>
        </w:tc>
        <w:tc>
          <w:tcPr>
            <w:tcW w:w="12748" w:type="dxa"/>
            <w:vAlign w:val="center"/>
          </w:tcPr>
          <w:p>
            <w:pPr>
              <w:snapToGrid w:val="0"/>
              <w:spacing w:line="360" w:lineRule="exact"/>
              <w:ind w:right="25" w:rightChars="12"/>
              <w:rPr>
                <w:rFonts w:ascii="宋体" w:hAnsi="宋体" w:cs="宋体"/>
                <w:spacing w:val="-2"/>
                <w:szCs w:val="21"/>
              </w:rPr>
            </w:pPr>
            <w:r>
              <w:rPr>
                <w:szCs w:val="32"/>
                <w:lang w:bidi="ar"/>
              </w:rPr>
              <w:t>Multiple and duplicate applications for the same project are not allowed.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69" w:type="dxa"/>
            <w:vAlign w:val="center"/>
          </w:tcPr>
          <w:p>
            <w:pPr>
              <w:spacing w:line="360" w:lineRule="exact"/>
              <w:ind w:right="25" w:rightChars="12"/>
              <w:jc w:val="center"/>
              <w:rPr>
                <w:szCs w:val="21"/>
              </w:rPr>
            </w:pPr>
            <w:r>
              <w:rPr>
                <w:rFonts w:hint="eastAsia"/>
                <w:szCs w:val="21"/>
              </w:rPr>
              <w:t>8</w:t>
            </w:r>
          </w:p>
        </w:tc>
        <w:tc>
          <w:tcPr>
            <w:tcW w:w="12748" w:type="dxa"/>
            <w:vAlign w:val="center"/>
          </w:tcPr>
          <w:p>
            <w:pPr>
              <w:rPr>
                <w:szCs w:val="21"/>
              </w:rPr>
            </w:pPr>
            <w:r>
              <w:rPr>
                <w:b/>
                <w:bCs/>
                <w:szCs w:val="21"/>
              </w:rPr>
              <w:t>Quantity Limitation:</w:t>
            </w:r>
            <w:r>
              <w:rPr>
                <w:szCs w:val="21"/>
              </w:rPr>
              <w:t xml:space="preserve"> </w:t>
            </w:r>
            <w:r>
              <w:rPr>
                <w:rFonts w:hint="eastAsia"/>
                <w:szCs w:val="21"/>
              </w:rPr>
              <w:t>the</w:t>
            </w:r>
            <w:r>
              <w:rPr>
                <w:rFonts w:hint="default"/>
                <w:szCs w:val="21"/>
                <w:lang w:val="en"/>
              </w:rPr>
              <w:t xml:space="preserve"> </w:t>
            </w:r>
            <w:r>
              <w:rPr>
                <w:rFonts w:hint="eastAsia"/>
                <w:szCs w:val="21"/>
              </w:rPr>
              <w:t>2024 General Program Sponsored by</w:t>
            </w:r>
            <w:r>
              <w:rPr>
                <w:rFonts w:hint="default"/>
                <w:szCs w:val="21"/>
                <w:lang w:val="en"/>
              </w:rPr>
              <w:t xml:space="preserve"> </w:t>
            </w:r>
            <w:r>
              <w:rPr>
                <w:rFonts w:hint="eastAsia"/>
                <w:szCs w:val="21"/>
              </w:rPr>
              <w:t>Basic Research Fund in</w:t>
            </w:r>
            <w:r>
              <w:rPr>
                <w:rFonts w:hint="default"/>
                <w:szCs w:val="21"/>
                <w:lang w:val="en"/>
              </w:rPr>
              <w:t xml:space="preserve"> </w:t>
            </w:r>
            <w:r>
              <w:rPr>
                <w:rFonts w:hint="eastAsia"/>
                <w:szCs w:val="21"/>
              </w:rPr>
              <w:t>Shenzhen Natural Science Foundation</w:t>
            </w:r>
            <w:r>
              <w:rPr>
                <w:szCs w:val="21"/>
              </w:rPr>
              <w:t xml:space="preserve"> has quantity limitation to project applications as follows:</w:t>
            </w:r>
          </w:p>
          <w:p>
            <w:pPr>
              <w:snapToGrid w:val="0"/>
              <w:spacing w:line="360" w:lineRule="exact"/>
              <w:ind w:right="25" w:rightChars="12"/>
              <w:rPr>
                <w:rFonts w:hint="eastAsia"/>
                <w:szCs w:val="21"/>
              </w:rPr>
            </w:pPr>
            <w:r>
              <w:rPr>
                <w:rFonts w:hint="eastAsia"/>
                <w:szCs w:val="21"/>
              </w:rPr>
              <w:t>(A) In the entire year of 2024, any person from a non-enterprise institution may act as a Principal Investigator to apply, only one once, the following SNSF programs: Key Basic Research Program and General Program. Any person from a non-enterprise institution may act as a team member to apply for and/or undertake no more than three projects in the above-mentioned programs(excluding platform carrier and post-event subsidy Programs).</w:t>
            </w:r>
          </w:p>
          <w:p>
            <w:pPr>
              <w:snapToGrid w:val="0"/>
              <w:spacing w:line="360" w:lineRule="exact"/>
              <w:ind w:right="25" w:rightChars="12"/>
              <w:rPr>
                <w:rFonts w:hint="eastAsia"/>
                <w:szCs w:val="21"/>
              </w:rPr>
            </w:pPr>
            <w:r>
              <w:rPr>
                <w:rFonts w:hint="eastAsia"/>
                <w:szCs w:val="21"/>
              </w:rPr>
              <w:t>(B) In the entire year of 2024, an enterprise institution can only apply, only once, the following programs: Key Basic Research Program and General Program. An enterprise institution can apply and undertake (including both Principal Investigator and participants) no more than 3 Shenzhen Science and Technology Programs (excluding platform carrier and post-event subsidy Programs).</w:t>
            </w:r>
          </w:p>
          <w:p>
            <w:pPr>
              <w:snapToGrid w:val="0"/>
              <w:spacing w:line="360" w:lineRule="exact"/>
              <w:ind w:right="25" w:rightChars="12"/>
              <w:rPr>
                <w:szCs w:val="32"/>
                <w:lang w:bidi="ar"/>
              </w:rPr>
            </w:pPr>
            <w:r>
              <w:rPr>
                <w:rFonts w:hint="eastAsia"/>
                <w:szCs w:val="21"/>
              </w:rPr>
              <w:t>(C) Any project applied should not be a duplication of any projects already funded by the National, Guangdong provincial, and/or Shenzhen municipal governments.</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69" w:type="dxa"/>
            <w:vAlign w:val="center"/>
          </w:tcPr>
          <w:p>
            <w:pPr>
              <w:spacing w:line="360" w:lineRule="exact"/>
              <w:ind w:right="25" w:rightChars="12"/>
              <w:jc w:val="center"/>
              <w:rPr>
                <w:szCs w:val="21"/>
              </w:rPr>
            </w:pPr>
            <w:r>
              <w:rPr>
                <w:rFonts w:hint="eastAsia"/>
                <w:szCs w:val="21"/>
              </w:rPr>
              <w:t>9</w:t>
            </w:r>
          </w:p>
        </w:tc>
        <w:tc>
          <w:tcPr>
            <w:tcW w:w="12748" w:type="dxa"/>
            <w:vAlign w:val="center"/>
          </w:tcPr>
          <w:p>
            <w:pPr>
              <w:snapToGrid w:val="0"/>
              <w:spacing w:line="360" w:lineRule="exact"/>
              <w:ind w:right="25" w:rightChars="12"/>
              <w:rPr>
                <w:rFonts w:ascii="宋体" w:hAnsi="宋体" w:cs="宋体"/>
                <w:szCs w:val="21"/>
              </w:rPr>
            </w:pPr>
            <w:r>
              <w:rPr>
                <w:b/>
                <w:bCs/>
                <w:szCs w:val="32"/>
                <w:lang w:bidi="ar"/>
              </w:rPr>
              <w:t xml:space="preserve">Application Materials: </w:t>
            </w:r>
            <w:r>
              <w:rPr>
                <w:szCs w:val="32"/>
                <w:lang w:bidi="ar"/>
              </w:rPr>
              <w:t xml:space="preserve">The attachment materials required for the project application should be complete and comply with legal </w:t>
            </w:r>
            <w:r>
              <w:rPr>
                <w:rFonts w:hint="eastAsia"/>
                <w:szCs w:val="32"/>
                <w:lang w:bidi="ar"/>
              </w:rPr>
              <w:t>compliance</w:t>
            </w:r>
            <w:r>
              <w:rPr>
                <w:szCs w:val="32"/>
                <w:lang w:bidi="ar"/>
              </w:rPr>
              <w:t>.</w:t>
            </w:r>
          </w:p>
        </w:tc>
      </w:tr>
    </w:tbl>
    <w:p>
      <w:pPr>
        <w:widowControl/>
        <w:snapToGrid w:val="0"/>
        <w:spacing w:line="360" w:lineRule="exact"/>
        <w:ind w:right="-334" w:rightChars="-159"/>
        <w:jc w:val="left"/>
        <w:rPr>
          <w:rFonts w:eastAsia="仿宋_GB2312"/>
          <w:bCs/>
          <w:sz w:val="28"/>
          <w:szCs w:val="28"/>
        </w:rPr>
      </w:pPr>
    </w:p>
    <w:sectPr>
      <w:pgSz w:w="16838" w:h="11906" w:orient="landscape"/>
      <w:pgMar w:top="567" w:right="1474" w:bottom="56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3MGIyMTc3OWRhNzU1MjE0MGRiY2I4NjcxNDRhNGEifQ=="/>
  </w:docVars>
  <w:rsids>
    <w:rsidRoot w:val="00042300"/>
    <w:rsid w:val="0002139D"/>
    <w:rsid w:val="000301AC"/>
    <w:rsid w:val="00042300"/>
    <w:rsid w:val="00057159"/>
    <w:rsid w:val="0006259D"/>
    <w:rsid w:val="00070363"/>
    <w:rsid w:val="000A2503"/>
    <w:rsid w:val="000B4BB9"/>
    <w:rsid w:val="000B7A3D"/>
    <w:rsid w:val="000C4A32"/>
    <w:rsid w:val="000F3F93"/>
    <w:rsid w:val="0012416A"/>
    <w:rsid w:val="0013417E"/>
    <w:rsid w:val="00136957"/>
    <w:rsid w:val="00140C0E"/>
    <w:rsid w:val="001417C9"/>
    <w:rsid w:val="0014508C"/>
    <w:rsid w:val="00162549"/>
    <w:rsid w:val="001728A1"/>
    <w:rsid w:val="00181049"/>
    <w:rsid w:val="00186E91"/>
    <w:rsid w:val="001A7B22"/>
    <w:rsid w:val="001B1FAA"/>
    <w:rsid w:val="001C1AB3"/>
    <w:rsid w:val="001E0F2A"/>
    <w:rsid w:val="001E73F8"/>
    <w:rsid w:val="001F1A93"/>
    <w:rsid w:val="001F6EA8"/>
    <w:rsid w:val="002065B1"/>
    <w:rsid w:val="0022367D"/>
    <w:rsid w:val="0024508B"/>
    <w:rsid w:val="00260EC8"/>
    <w:rsid w:val="002653BC"/>
    <w:rsid w:val="00274371"/>
    <w:rsid w:val="00282550"/>
    <w:rsid w:val="002833A1"/>
    <w:rsid w:val="00296794"/>
    <w:rsid w:val="002C541B"/>
    <w:rsid w:val="002C74CE"/>
    <w:rsid w:val="002F1621"/>
    <w:rsid w:val="00300AD1"/>
    <w:rsid w:val="00303606"/>
    <w:rsid w:val="00303838"/>
    <w:rsid w:val="00321D96"/>
    <w:rsid w:val="00323B8F"/>
    <w:rsid w:val="0032777F"/>
    <w:rsid w:val="00343B8A"/>
    <w:rsid w:val="00343DE1"/>
    <w:rsid w:val="003513FB"/>
    <w:rsid w:val="003601BF"/>
    <w:rsid w:val="003676F9"/>
    <w:rsid w:val="00381DDB"/>
    <w:rsid w:val="003866BE"/>
    <w:rsid w:val="003B4D44"/>
    <w:rsid w:val="003C085D"/>
    <w:rsid w:val="003C30B4"/>
    <w:rsid w:val="003D1ECB"/>
    <w:rsid w:val="003F34C1"/>
    <w:rsid w:val="003F5CAE"/>
    <w:rsid w:val="004023BC"/>
    <w:rsid w:val="00425A46"/>
    <w:rsid w:val="00434AC2"/>
    <w:rsid w:val="0044530E"/>
    <w:rsid w:val="004678DC"/>
    <w:rsid w:val="00472C64"/>
    <w:rsid w:val="0047340D"/>
    <w:rsid w:val="004825CC"/>
    <w:rsid w:val="004920FE"/>
    <w:rsid w:val="004A5A8D"/>
    <w:rsid w:val="004B1730"/>
    <w:rsid w:val="004B21BD"/>
    <w:rsid w:val="004B7FBB"/>
    <w:rsid w:val="004E5A96"/>
    <w:rsid w:val="004F1052"/>
    <w:rsid w:val="004F3605"/>
    <w:rsid w:val="00510107"/>
    <w:rsid w:val="00514DDB"/>
    <w:rsid w:val="005541D1"/>
    <w:rsid w:val="00556C99"/>
    <w:rsid w:val="00557A24"/>
    <w:rsid w:val="0056328B"/>
    <w:rsid w:val="00567608"/>
    <w:rsid w:val="005676C6"/>
    <w:rsid w:val="005746CF"/>
    <w:rsid w:val="005859D1"/>
    <w:rsid w:val="005A181D"/>
    <w:rsid w:val="005A7E30"/>
    <w:rsid w:val="005B2DE1"/>
    <w:rsid w:val="005F1C33"/>
    <w:rsid w:val="00620A7E"/>
    <w:rsid w:val="00636A8B"/>
    <w:rsid w:val="00642341"/>
    <w:rsid w:val="006444C9"/>
    <w:rsid w:val="00646E95"/>
    <w:rsid w:val="00651159"/>
    <w:rsid w:val="00673C6E"/>
    <w:rsid w:val="00693688"/>
    <w:rsid w:val="006B3045"/>
    <w:rsid w:val="006C0866"/>
    <w:rsid w:val="006C1772"/>
    <w:rsid w:val="006D11B5"/>
    <w:rsid w:val="006F33D5"/>
    <w:rsid w:val="006F4675"/>
    <w:rsid w:val="00710D4D"/>
    <w:rsid w:val="00730215"/>
    <w:rsid w:val="00734B41"/>
    <w:rsid w:val="007432FA"/>
    <w:rsid w:val="00744BA8"/>
    <w:rsid w:val="00745A09"/>
    <w:rsid w:val="007473D4"/>
    <w:rsid w:val="00754D9B"/>
    <w:rsid w:val="00757188"/>
    <w:rsid w:val="00770CEA"/>
    <w:rsid w:val="0078074D"/>
    <w:rsid w:val="0078333D"/>
    <w:rsid w:val="0078446A"/>
    <w:rsid w:val="0079216D"/>
    <w:rsid w:val="007A25A4"/>
    <w:rsid w:val="007B1596"/>
    <w:rsid w:val="007B1EAE"/>
    <w:rsid w:val="007B2676"/>
    <w:rsid w:val="007B7CFC"/>
    <w:rsid w:val="007D21D8"/>
    <w:rsid w:val="007E0EBC"/>
    <w:rsid w:val="007F52CD"/>
    <w:rsid w:val="007F675E"/>
    <w:rsid w:val="007F7CD6"/>
    <w:rsid w:val="00803811"/>
    <w:rsid w:val="0082069B"/>
    <w:rsid w:val="00834972"/>
    <w:rsid w:val="008357BC"/>
    <w:rsid w:val="008475F6"/>
    <w:rsid w:val="00850D63"/>
    <w:rsid w:val="00851345"/>
    <w:rsid w:val="0085163A"/>
    <w:rsid w:val="00857978"/>
    <w:rsid w:val="00864560"/>
    <w:rsid w:val="00892D83"/>
    <w:rsid w:val="008A0FD3"/>
    <w:rsid w:val="008B2773"/>
    <w:rsid w:val="008B7FAD"/>
    <w:rsid w:val="008E0519"/>
    <w:rsid w:val="009077EB"/>
    <w:rsid w:val="00926E0C"/>
    <w:rsid w:val="00927940"/>
    <w:rsid w:val="00932CEA"/>
    <w:rsid w:val="0093580E"/>
    <w:rsid w:val="00937274"/>
    <w:rsid w:val="00943978"/>
    <w:rsid w:val="00945C0C"/>
    <w:rsid w:val="00954FFE"/>
    <w:rsid w:val="00973AEF"/>
    <w:rsid w:val="00980DFA"/>
    <w:rsid w:val="009825E9"/>
    <w:rsid w:val="009855BA"/>
    <w:rsid w:val="00992D84"/>
    <w:rsid w:val="009A14D2"/>
    <w:rsid w:val="009A2A6F"/>
    <w:rsid w:val="009B18DC"/>
    <w:rsid w:val="009B7DC1"/>
    <w:rsid w:val="009C29BA"/>
    <w:rsid w:val="009C56FD"/>
    <w:rsid w:val="009D1DCF"/>
    <w:rsid w:val="009E02CB"/>
    <w:rsid w:val="009F68C2"/>
    <w:rsid w:val="00A00024"/>
    <w:rsid w:val="00A2761D"/>
    <w:rsid w:val="00A30765"/>
    <w:rsid w:val="00A427DF"/>
    <w:rsid w:val="00A54F4F"/>
    <w:rsid w:val="00A95A52"/>
    <w:rsid w:val="00AA57C8"/>
    <w:rsid w:val="00AA7373"/>
    <w:rsid w:val="00AA7C76"/>
    <w:rsid w:val="00AB5062"/>
    <w:rsid w:val="00AE0E26"/>
    <w:rsid w:val="00AE11A0"/>
    <w:rsid w:val="00AE2248"/>
    <w:rsid w:val="00AE3C3D"/>
    <w:rsid w:val="00AE57C8"/>
    <w:rsid w:val="00AE7703"/>
    <w:rsid w:val="00B134D2"/>
    <w:rsid w:val="00B142E8"/>
    <w:rsid w:val="00B1444D"/>
    <w:rsid w:val="00B16A17"/>
    <w:rsid w:val="00B365C9"/>
    <w:rsid w:val="00B5110F"/>
    <w:rsid w:val="00B9250C"/>
    <w:rsid w:val="00BC364C"/>
    <w:rsid w:val="00BC5733"/>
    <w:rsid w:val="00BD5422"/>
    <w:rsid w:val="00BE7F83"/>
    <w:rsid w:val="00BF6BA8"/>
    <w:rsid w:val="00C10601"/>
    <w:rsid w:val="00C14A7F"/>
    <w:rsid w:val="00C2082B"/>
    <w:rsid w:val="00C22F87"/>
    <w:rsid w:val="00C605F0"/>
    <w:rsid w:val="00C62CC7"/>
    <w:rsid w:val="00CA4F55"/>
    <w:rsid w:val="00CA6ECC"/>
    <w:rsid w:val="00CC5EA8"/>
    <w:rsid w:val="00CE36EA"/>
    <w:rsid w:val="00D003B7"/>
    <w:rsid w:val="00D035A0"/>
    <w:rsid w:val="00D32486"/>
    <w:rsid w:val="00D54175"/>
    <w:rsid w:val="00D561E2"/>
    <w:rsid w:val="00D653BC"/>
    <w:rsid w:val="00D662B4"/>
    <w:rsid w:val="00D6769C"/>
    <w:rsid w:val="00D819C4"/>
    <w:rsid w:val="00D92B69"/>
    <w:rsid w:val="00DD1F69"/>
    <w:rsid w:val="00DE55FF"/>
    <w:rsid w:val="00DF491F"/>
    <w:rsid w:val="00DF55A4"/>
    <w:rsid w:val="00E44342"/>
    <w:rsid w:val="00EB3CCC"/>
    <w:rsid w:val="00EC5F40"/>
    <w:rsid w:val="00ED2ABE"/>
    <w:rsid w:val="00ED6743"/>
    <w:rsid w:val="00F02D7B"/>
    <w:rsid w:val="00F0392A"/>
    <w:rsid w:val="00F04398"/>
    <w:rsid w:val="00F34173"/>
    <w:rsid w:val="00F45549"/>
    <w:rsid w:val="00F51F02"/>
    <w:rsid w:val="00F65613"/>
    <w:rsid w:val="00F770D2"/>
    <w:rsid w:val="00F8083C"/>
    <w:rsid w:val="00F831A3"/>
    <w:rsid w:val="00FA4372"/>
    <w:rsid w:val="00FB16F6"/>
    <w:rsid w:val="00FD34C8"/>
    <w:rsid w:val="00FD6030"/>
    <w:rsid w:val="00FE6BAA"/>
    <w:rsid w:val="040C682A"/>
    <w:rsid w:val="046B39B2"/>
    <w:rsid w:val="05143098"/>
    <w:rsid w:val="06602757"/>
    <w:rsid w:val="0A4B60E2"/>
    <w:rsid w:val="0A655068"/>
    <w:rsid w:val="0CCE79D2"/>
    <w:rsid w:val="0CFF4D63"/>
    <w:rsid w:val="0D0E6B3D"/>
    <w:rsid w:val="0D13485A"/>
    <w:rsid w:val="112B1D33"/>
    <w:rsid w:val="1514507A"/>
    <w:rsid w:val="171E0C24"/>
    <w:rsid w:val="1BA926BF"/>
    <w:rsid w:val="1C7D141A"/>
    <w:rsid w:val="1E663A1E"/>
    <w:rsid w:val="1ED27A12"/>
    <w:rsid w:val="1EDB45FB"/>
    <w:rsid w:val="204408B1"/>
    <w:rsid w:val="22062E3A"/>
    <w:rsid w:val="226914BD"/>
    <w:rsid w:val="234D6FE6"/>
    <w:rsid w:val="23E41AA1"/>
    <w:rsid w:val="25373750"/>
    <w:rsid w:val="277D2E2A"/>
    <w:rsid w:val="279D89D4"/>
    <w:rsid w:val="2945318A"/>
    <w:rsid w:val="29572431"/>
    <w:rsid w:val="29663E63"/>
    <w:rsid w:val="2FC60872"/>
    <w:rsid w:val="306072BE"/>
    <w:rsid w:val="32A90125"/>
    <w:rsid w:val="348215E3"/>
    <w:rsid w:val="351A2268"/>
    <w:rsid w:val="35DF2A71"/>
    <w:rsid w:val="37FEABF4"/>
    <w:rsid w:val="395B63C2"/>
    <w:rsid w:val="3A7E5597"/>
    <w:rsid w:val="3B8C0D66"/>
    <w:rsid w:val="3E3B5F9A"/>
    <w:rsid w:val="3F966155"/>
    <w:rsid w:val="3FEFC91B"/>
    <w:rsid w:val="42D95EC9"/>
    <w:rsid w:val="466E3E7A"/>
    <w:rsid w:val="46C82000"/>
    <w:rsid w:val="47107707"/>
    <w:rsid w:val="4737A3E7"/>
    <w:rsid w:val="47E66307"/>
    <w:rsid w:val="48AF1EED"/>
    <w:rsid w:val="49C544FC"/>
    <w:rsid w:val="4A730A42"/>
    <w:rsid w:val="4ABF7979"/>
    <w:rsid w:val="4BC56CD6"/>
    <w:rsid w:val="4BF16A86"/>
    <w:rsid w:val="4BF4541F"/>
    <w:rsid w:val="4C570451"/>
    <w:rsid w:val="4E4D0719"/>
    <w:rsid w:val="4E9C2BDA"/>
    <w:rsid w:val="52BEEBD7"/>
    <w:rsid w:val="54775422"/>
    <w:rsid w:val="54C859D2"/>
    <w:rsid w:val="55BFF285"/>
    <w:rsid w:val="57543DCB"/>
    <w:rsid w:val="58C31894"/>
    <w:rsid w:val="594C00F4"/>
    <w:rsid w:val="59FDFFC9"/>
    <w:rsid w:val="5AC50E56"/>
    <w:rsid w:val="5BBB0DC0"/>
    <w:rsid w:val="5C2F13EE"/>
    <w:rsid w:val="5C712F87"/>
    <w:rsid w:val="5C9D9917"/>
    <w:rsid w:val="5DD72E4D"/>
    <w:rsid w:val="5ECB2E97"/>
    <w:rsid w:val="5FFBCF47"/>
    <w:rsid w:val="60FD1BA6"/>
    <w:rsid w:val="655D762B"/>
    <w:rsid w:val="668763AF"/>
    <w:rsid w:val="66EC1C6F"/>
    <w:rsid w:val="67FF0BFD"/>
    <w:rsid w:val="69D15C3A"/>
    <w:rsid w:val="6B7751C0"/>
    <w:rsid w:val="6C896C64"/>
    <w:rsid w:val="6E470433"/>
    <w:rsid w:val="6FAD4679"/>
    <w:rsid w:val="6FFE7ECD"/>
    <w:rsid w:val="71BFA16C"/>
    <w:rsid w:val="7285474B"/>
    <w:rsid w:val="73576922"/>
    <w:rsid w:val="766963A6"/>
    <w:rsid w:val="76FE1644"/>
    <w:rsid w:val="77AFB8A1"/>
    <w:rsid w:val="77EC6520"/>
    <w:rsid w:val="782730E0"/>
    <w:rsid w:val="787B57DE"/>
    <w:rsid w:val="7E3D525E"/>
    <w:rsid w:val="7FB20317"/>
    <w:rsid w:val="7FFCDFC2"/>
    <w:rsid w:val="AF6FE2DB"/>
    <w:rsid w:val="B64EF6DA"/>
    <w:rsid w:val="BD0D22BD"/>
    <w:rsid w:val="BDEAF14F"/>
    <w:rsid w:val="C9656E8F"/>
    <w:rsid w:val="CFFFA0E5"/>
    <w:rsid w:val="DE79C786"/>
    <w:rsid w:val="EFFB4BBF"/>
    <w:rsid w:val="FBFBA439"/>
    <w:rsid w:val="FD4E3E48"/>
    <w:rsid w:val="FDEF4C75"/>
    <w:rsid w:val="FDF7A8FD"/>
    <w:rsid w:val="FF37D417"/>
    <w:rsid w:val="FFBF2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qFormat/>
    <w:uiPriority w:val="0"/>
    <w:pPr>
      <w:jc w:val="left"/>
    </w:pPr>
    <w:rPr>
      <w:rFonts w:ascii="Calibri" w:hAnsi="Calibri" w:eastAsia="仿宋_GB2312"/>
      <w:sz w:val="32"/>
    </w:rPr>
  </w:style>
  <w:style w:type="paragraph" w:styleId="4">
    <w:name w:val="Date"/>
    <w:basedOn w:val="1"/>
    <w:next w:val="1"/>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qFormat/>
    <w:uiPriority w:val="0"/>
    <w:pPr>
      <w:tabs>
        <w:tab w:val="right" w:leader="dot" w:pos="8280"/>
      </w:tabs>
      <w:spacing w:line="360" w:lineRule="auto"/>
    </w:pPr>
  </w:style>
  <w:style w:type="paragraph" w:styleId="9">
    <w:name w:val="Normal (Web)"/>
    <w:basedOn w:val="1"/>
    <w:qFormat/>
    <w:uiPriority w:val="0"/>
    <w:pPr>
      <w:widowControl/>
      <w:spacing w:line="384" w:lineRule="auto"/>
      <w:jc w:val="left"/>
    </w:pPr>
    <w:rPr>
      <w:rFonts w:ascii="宋体" w:hAnsi="宋体" w:cs="宋体"/>
      <w:color w:val="333333"/>
      <w:kern w:val="0"/>
      <w:sz w:val="20"/>
      <w:szCs w:val="20"/>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color w:val="0000FF"/>
      <w:u w:val="single"/>
    </w:rPr>
  </w:style>
  <w:style w:type="character" w:styleId="16">
    <w:name w:val="annotation reference"/>
    <w:basedOn w:val="12"/>
    <w:qFormat/>
    <w:uiPriority w:val="0"/>
    <w:rPr>
      <w:sz w:val="21"/>
      <w:szCs w:val="21"/>
    </w:rPr>
  </w:style>
  <w:style w:type="paragraph" w:customStyle="1" w:styleId="17">
    <w:name w:val="style2"/>
    <w:basedOn w:val="1"/>
    <w:qFormat/>
    <w:uiPriority w:val="0"/>
    <w:pPr>
      <w:widowControl/>
      <w:spacing w:line="432" w:lineRule="auto"/>
      <w:jc w:val="left"/>
    </w:pPr>
    <w:rPr>
      <w:rFonts w:ascii="宋体" w:hAnsi="宋体" w:cs="宋体"/>
      <w:color w:val="333333"/>
      <w:kern w:val="0"/>
      <w:sz w:val="22"/>
      <w:szCs w:val="22"/>
    </w:rPr>
  </w:style>
  <w:style w:type="character" w:customStyle="1" w:styleId="18">
    <w:name w:val="批注文字 字符"/>
    <w:basedOn w:val="12"/>
    <w:link w:val="3"/>
    <w:qFormat/>
    <w:uiPriority w:val="0"/>
    <w:rPr>
      <w:rFonts w:ascii="Calibri" w:hAnsi="Calibri" w:eastAsia="仿宋_GB2312"/>
      <w:kern w:val="2"/>
      <w:sz w:val="32"/>
      <w:szCs w:val="24"/>
    </w:rPr>
  </w:style>
  <w:style w:type="paragraph" w:customStyle="1" w:styleId="19">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811</Words>
  <Characters>4623</Characters>
  <Lines>38</Lines>
  <Paragraphs>10</Paragraphs>
  <TotalTime>5</TotalTime>
  <ScaleCrop>false</ScaleCrop>
  <LinksUpToDate>false</LinksUpToDate>
  <CharactersWithSpaces>5424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2024-07-13T21:47:00Z</dcterms:created>
  <dc:creator>GuWG</dc:creator>
  <cp:lastModifiedBy>杜沐南</cp:lastModifiedBy>
  <cp:lastPrinted>2024-07-07T07:32:00Z</cp:lastPrinted>
  <dcterms:modified xsi:type="dcterms:W3CDTF">2024-07-22T18:02:55Z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C0FC563A246248A9BFBDDA6506E74F3D_13</vt:lpwstr>
  </property>
</Properties>
</file>